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0"/>
      </w:pPr>
    </w:p>
    <w:p>
      <w:pPr>
        <w:spacing w:after="200"/>
      </w:pPr>
      <w:r>
        <w:rPr>
          <w:b/>
          <w:bCs/>
          <w:color w:val="00818C"/>
          <w:sz w:val="52"/>
          <w:szCs w:val="52"/>
        </w:rPr>
        <w:t xml:space="preserve">ESG Country Risk — Italy (Regional ESG Risk Index)</w:t>
      </w:r>
    </w:p>
    <w:p>
      <w:pPr>
        <w:spacing w:after="120"/>
      </w:pPr>
      <w:r>
        <w:rPr>
          <w:color w:val="1F2933"/>
          <w:sz w:val="32"/>
          <w:szCs w:val="32"/>
        </w:rPr>
        <w:t xml:space="preserve">Rating methodology and public disclosures</w:t>
      </w:r>
    </w:p>
    <w:p>
      <w:pPr>
        <w:spacing w:after="600"/>
      </w:pPr>
      <w:r>
        <w:rPr>
          <w:color w:val="6B7280"/>
          <w:sz w:val="22"/>
          <w:szCs w:val="22"/>
        </w:rPr>
        <w:t xml:space="preserve">Prepared in accordance with Regulation (EU) 2024/3005 on the transparency and integrity of ESG rating activities (Articles 23 and 24, Annex III) and Commission Delegated Regulation (EU) 2026/871</w:t>
      </w:r>
    </w:p>
    <w:p>
      <w:pPr>
        <w:spacing w:after="100" w:line="276"/>
      </w:pPr>
      <w:r>
        <w:rPr>
          <w:b/>
          <w:bCs/>
          <w:sz w:val="20"/>
          <w:szCs w:val="20"/>
        </w:rPr>
        <w:t xml:space="preserve">Provider: </w:t>
      </w:r>
      <w:r>
        <w:rPr>
          <w:sz w:val="20"/>
          <w:szCs w:val="20"/>
        </w:rPr>
        <w:t xml:space="preserve">Ecomate</w:t>
      </w:r>
    </w:p>
    <w:p>
      <w:pPr>
        <w:spacing w:after="100" w:line="276"/>
      </w:pPr>
      <w:r>
        <w:rPr>
          <w:b/>
          <w:bCs/>
          <w:sz w:val="20"/>
          <w:szCs w:val="20"/>
        </w:rPr>
        <w:t xml:space="preserve">Methodology version: </w:t>
      </w:r>
      <w:r>
        <w:rPr>
          <w:sz w:val="20"/>
          <w:szCs w:val="20"/>
        </w:rPr>
        <w:t xml:space="preserve">1.2 — last revision 29 September 2026</w:t>
      </w:r>
    </w:p>
    <w:p>
      <w:pPr>
        <w:spacing w:after="100" w:line="276"/>
      </w:pPr>
      <w:r>
        <w:rPr>
          <w:b/>
          <w:bCs/>
          <w:sz w:val="20"/>
          <w:szCs w:val="20"/>
        </w:rPr>
        <w:t xml:space="preserve">Data vintage: </w:t>
      </w:r>
      <w:r>
        <w:rPr>
          <w:sz w:val="20"/>
          <w:szCs w:val="20"/>
        </w:rPr>
        <w:t xml:space="preserve">29 September 2026 (278 indicators, 20 rated items)</w:t>
      </w:r>
    </w:p>
    <w:p>
      <w:pPr>
        <w:spacing w:after="100" w:line="276"/>
      </w:pPr>
      <w:r>
        <w:rPr>
          <w:b/>
          <w:bCs/>
          <w:sz w:val="20"/>
          <w:szCs w:val="20"/>
        </w:rPr>
        <w:t xml:space="preserve">Rated items: </w:t>
      </w:r>
      <w:r>
        <w:rPr>
          <w:sz w:val="20"/>
          <w:szCs w:val="20"/>
        </w:rPr>
        <w:t xml:space="preserve">Italian regions (NUTS 2) — public authorities</w:t>
      </w:r>
    </w:p>
    <w:p>
      <w:pPr>
        <w:spacing w:after="4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00818C" w:sz="12"/>
              <w:left w:val="single" w:color="D1D5DB" w:sz="4"/>
              <w:bottom w:val="single" w:color="D1D5DB" w:sz="4"/>
              <w:right w:val="single" w:color="D1D5DB" w:sz="4"/>
            </w:tcBorders>
            <w:shd w:fill="E6F3F4" w:val="clear"/>
            <w:tcMar>
              <w:top w:type="dxa" w:w="120"/>
              <w:left w:type="dxa" w:w="160"/>
              <w:bottom w:type="dxa" w:w="120"/>
              <w:right w:type="dxa" w:w="160"/>
            </w:tcMar>
          </w:tcPr>
          <w:p>
            <w:pPr>
              <w:spacing w:after="60"/>
            </w:pPr>
            <w:r>
              <w:rPr>
                <w:b/>
                <w:bCs/>
                <w:color w:val="005F66"/>
                <w:sz w:val="20"/>
                <w:szCs w:val="20"/>
              </w:rPr>
              <w:t xml:space="preserve">Unsolicited ESG ratings</w:t>
            </w:r>
          </w:p>
          <w:p>
            <w:pPr>
              <w:spacing w:after="60"/>
            </w:pPr>
            <w:r>
              <w:rPr>
                <w:sz w:val="19"/>
                <w:szCs w:val="19"/>
              </w:rPr>
              <w:t xml:space="preserve">All ratings published in this product are unsolicited. Rated items were not informed before publication, did not participate in the rating process and provided no non-public information. The ratings rely exclusively on official statistics and public institutional datasets.</w:t>
            </w:r>
          </w:p>
        </w:tc>
      </w:tr>
    </w:tbl>
    <w:p>
      <w:pPr>
        <w:spacing w:after="200"/>
      </w:pPr>
    </w:p>
    <w:p>
      <w:pPr>
        <w:spacing w:after="80"/>
      </w:pPr>
      <w:r>
        <w:rPr>
          <w:color w:val="6B7280"/>
          <w:sz w:val="16"/>
          <w:szCs w:val="16"/>
        </w:rPr>
        <w:t xml:space="preserve">Fields highlighted in yellow are organisational facts that must be completed by the provider before publication; they are not part of the automatically generated content.</w:t>
      </w:r>
    </w:p>
    <w:p>
      <w:r>
        <w:br w:type="page"/>
      </w:r>
    </w:p>
    <w:p>
      <w:pPr>
        <w:pStyle w:val="Heading1"/>
        <w:spacing w:after="160" w:before="360"/>
      </w:pPr>
      <w:r>
        <w:t xml:space="preserve">Contents</w:t>
      </w:r>
    </w:p>
    <w:sdt>
      <w:sdtPr>
        <w:alias w:val="Contents"/>
      </w:sdtPr>
      <w:sdtContent>
        <w:p>
          <w:r>
            <w:fldChar w:fldCharType="begin" w:dirty="true"/>
            <w:instrText xml:space="preserve">TOC \h \o "1-2"</w:instrText>
            <w:fldChar w:fldCharType="separate"/>
          </w:r>
        </w:p>
        <w:p>
          <w:r>
            <w:fldChar w:fldCharType="end"/>
          </w:r>
        </w:p>
      </w:sdtContent>
    </w:sdt>
    <w:p>
      <w:pPr>
        <w:spacing w:after="80"/>
      </w:pPr>
      <w:r>
        <w:rPr>
          <w:color w:val="6B7280"/>
          <w:sz w:val="16"/>
          <w:szCs w:val="16"/>
        </w:rPr>
        <w:t xml:space="preserve">Right-click the table and choose “Update field” in Word if page numbers are not shown.</w:t>
      </w:r>
    </w:p>
    <w:p>
      <w:r>
        <w:br w:type="page"/>
      </w:r>
    </w:p>
    <w:p>
      <w:pPr>
        <w:pStyle w:val="Heading1"/>
        <w:spacing w:after="160" w:before="360"/>
      </w:pPr>
      <w:r>
        <w:t xml:space="preserve">1. Introduction and regulatory basis</w:t>
      </w:r>
    </w:p>
    <w:p>
      <w:pPr>
        <w:pStyle w:val="Heading2"/>
        <w:spacing w:after="120" w:before="280"/>
      </w:pPr>
      <w:r>
        <w:t xml:space="preserve">1.1 Purpose of this document</w:t>
      </w:r>
    </w:p>
    <w:p>
      <w:pPr>
        <w:spacing w:after="100" w:line="276"/>
      </w:pPr>
      <w:r>
        <w:rPr>
          <w:sz w:val="20"/>
          <w:szCs w:val="20"/>
        </w:rPr>
        <w:t xml:space="preserve">This document is the public methodology disclosure of the ESG Country Risk — Italy (Regional ESG Risk Index) (the "Index"). It is written to satisfy the transparency requirements imposed on ESG rating providers by Regulation (EU) 2024/3005 (the "ESG Rating Regulation") and by the regulatory technical standards adopted under it. It describes the objective of the Index, the rated items, the data sources, the scoring model, its limitations, the revision policy and the organisational disclosures required by the Regulation.</w:t>
      </w:r>
    </w:p>
    <w:p>
      <w:pPr>
        <w:spacing w:after="100" w:line="276"/>
      </w:pPr>
      <w:r>
        <w:rPr>
          <w:sz w:val="20"/>
          <w:szCs w:val="20"/>
        </w:rPr>
        <w:t xml:space="preserve">Part I follows the order of presentation prescribed by the Annex to the regulatory technical standards for the disclosures under point 1 of Annex III: rating product disclosures, general methodological disclosures, limitations, and organisational disclosures. Part II contains the additional disclosures owed to users of ESG ratings and to rated items under point 2 of Annex III. Part III and the annexes provide the technical detail, the indicator catalogue, the data-source register and a compliance cross-reference matrix.</w:t>
      </w:r>
    </w:p>
    <w:p>
      <w:pPr>
        <w:pStyle w:val="Heading2"/>
        <w:spacing w:after="120" w:before="280"/>
      </w:pPr>
      <w:r>
        <w:t xml:space="preserve">1.2 Regulatory basis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48"/>
        <w:gridCol w:w="3662"/>
        <w:gridCol w:w="1928"/>
      </w:tblGrid>
      <w:tr>
        <w:trPr>
          <w:cantSplit/>
          <w:tblHeader/>
        </w:trPr>
        <w:tc>
          <w:tcPr>
            <w:tcW w:type="dxa" w:w="4048"/>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Instrument</w:t>
            </w:r>
          </w:p>
        </w:tc>
        <w:tc>
          <w:tcPr>
            <w:tcW w:type="dxa" w:w="3662"/>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Relevance</w:t>
            </w:r>
          </w:p>
        </w:tc>
        <w:tc>
          <w:tcPr>
            <w:tcW w:type="dxa" w:w="1928"/>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Application</w:t>
            </w:r>
          </w:p>
        </w:tc>
      </w:tr>
      <w:tr>
        <w:trPr>
          <w:cantSplit/>
        </w:trPr>
        <w:tc>
          <w:tcPr>
            <w:tcW w:type="dxa" w:w="40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b/>
                <w:bCs/>
                <w:sz w:val="17"/>
                <w:szCs w:val="17"/>
              </w:rPr>
              <w:t xml:space="preserve">Regulation (EU) 2024/3005 of the European Parliament and of the Council of 27 November 2024 on the transparency and integrity of ESG rating activities</w:t>
            </w:r>
            <w:r>
              <w:rPr>
                <w:sz w:val="17"/>
                <w:szCs w:val="17"/>
              </w:rPr>
              <w:t xml:space="preserve"> — </w:t>
            </w:r>
            <w:hyperlink w:history="1" r:id="rIds2-2u9fwwlv4rj7c9hjvy">
              <w:r>
                <w:rPr>
                  <w:rStyle w:val="Hyperlink"/>
                  <w:sz w:val="17"/>
                  <w:szCs w:val="17"/>
                </w:rPr>
                <w:t xml:space="preserve">http://data.europa.eu/eli/reg/2024/3005/oj</w:t>
              </w:r>
            </w:hyperlink>
          </w:p>
        </w:tc>
        <w:tc>
          <w:tcPr>
            <w:tcW w:type="dxa" w:w="366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Articles 3 (definitions), 15 (general principles), 23 (disclosures to the public), 24 (disclosures to users and rated items) and Annex III (minimum disclosures).</w:t>
            </w:r>
          </w:p>
        </w:tc>
        <w:tc>
          <w:tcPr>
            <w:tcW w:type="dxa" w:w="192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Applies from 2 July 2026</w:t>
            </w:r>
          </w:p>
        </w:tc>
      </w:tr>
      <w:tr>
        <w:trPr>
          <w:cantSplit/>
        </w:trPr>
        <w:tc>
          <w:tcPr>
            <w:tcW w:type="dxa" w:w="40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b/>
                <w:bCs/>
                <w:sz w:val="17"/>
                <w:szCs w:val="17"/>
              </w:rPr>
              <w:t xml:space="preserve">Commission Delegated Regulation (EU) 2026/871 of 21 April 2026 supplementing Regulation (EU) 2024/3005 with regard to regulatory technical standards specifying the elements to be disclosed under Annex III</w:t>
            </w:r>
            <w:r>
              <w:rPr>
                <w:sz w:val="17"/>
                <w:szCs w:val="17"/>
              </w:rPr>
              <w:t xml:space="preserve"> — </w:t>
            </w:r>
            <w:hyperlink w:history="1" r:id="rId6hqvujdkexpqak-hrxwju">
              <w:r>
                <w:rPr>
                  <w:rStyle w:val="Hyperlink"/>
                  <w:sz w:val="17"/>
                  <w:szCs w:val="17"/>
                </w:rPr>
                <w:t xml:space="preserve">http://data.europa.eu/eli/reg_del/2026/871/oj</w:t>
              </w:r>
            </w:hyperlink>
          </w:p>
        </w:tc>
        <w:tc>
          <w:tcPr>
            <w:tcW w:type="dxa" w:w="366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Specifies the content of the Annex III elements (Articles 3 to 8) and the mandatory order of presentation of the point 1 disclosures (Article 2 and Annex).</w:t>
            </w:r>
          </w:p>
        </w:tc>
        <w:tc>
          <w:tcPr>
            <w:tcW w:type="dxa" w:w="192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Applies from 2 July 2026</w:t>
            </w:r>
          </w:p>
        </w:tc>
      </w:tr>
    </w:tbl>
    <w:p>
      <w:pPr>
        <w:pStyle w:val="Heading2"/>
        <w:spacing w:after="120" w:before="280"/>
      </w:pPr>
      <w:r>
        <w:t xml:space="preserve">1.3 Why the Index is an ESG rating within the meaning of the Regulation</w:t>
      </w:r>
    </w:p>
    <w:p>
      <w:pPr>
        <w:spacing w:after="60" w:line="276"/>
      </w:pPr>
      <w:r>
        <w:rPr>
          <w:sz w:val="20"/>
          <w:szCs w:val="20"/>
        </w:rPr>
        <w:t xml:space="preserve">'ESG rating' means an opinion or a score, or a combination of both, regarding a rated item's profile or characteristics with regard to environmental, social and human rights, or governance factors, or regarding a rated item's exposure to risks or impact on environmental, social and human rights, or governance factors, that is based on both an established methodology and a defined ranking system of rating categories, irrespective of whether such ESG rating is labelled as 'ESG rating', 'ESG opinion' or 'ESG score'. (Art. 3(1))</w:t>
      </w:r>
    </w:p>
    <w:p>
      <w:pPr>
        <w:spacing w:after="100" w:line="276"/>
      </w:pPr>
      <w:r>
        <w:rPr>
          <w:sz w:val="20"/>
          <w:szCs w:val="20"/>
        </w:rPr>
        <w:t xml:space="preserve">'rated item' means a legal person, a financial instrument, a financial product, a public authority or a body governed by public law which is explicitly or implicitly rated in the ESG rating, irrespective of whether such rating has been requested and irrespective of whether the legal person, public authority or body governed by public law has provided information for that ESG rating. (Art. 3(7))</w:t>
      </w:r>
    </w:p>
    <w:p>
      <w:pPr>
        <w:spacing w:after="100" w:line="276"/>
      </w:pPr>
      <w:r>
        <w:rPr>
          <w:sz w:val="20"/>
          <w:szCs w:val="20"/>
        </w:rPr>
        <w:t xml:space="preserve">The Index expresses a score regarding the exposure of a territory to environmental, social and governance risks, computed with an established methodology (Part III) and a defined ranking system of rating categories (the seven risk bands in section 3.2). The rated items are the 20 Italian regions at NUTS 2 level, which are public authorities and therefore fall within the definition of "rated item". The Index is consequently an ESG rating, irrespective of the label "index" or "score" used in the product name.</w:t>
      </w:r>
    </w:p>
    <w:p>
      <w:pPr>
        <w:spacing w:after="100" w:line="276"/>
      </w:pPr>
      <w:r>
        <w:rPr>
          <w:sz w:val="20"/>
          <w:szCs w:val="20"/>
        </w:rPr>
        <w:t xml:space="preserve">The exclusions of Article 2(2) that could conceivably be relevant to a territorial product were assessed as follows: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60"/>
        <w:gridCol w:w="3181"/>
        <w:gridCol w:w="964"/>
        <w:gridCol w:w="4433"/>
      </w:tblGrid>
      <w:tr>
        <w:trPr>
          <w:cantSplit/>
          <w:tblHeader/>
        </w:trPr>
        <w:tc>
          <w:tcPr>
            <w:tcW w:type="dxa" w:w="1060"/>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Article 2(2)</w:t>
            </w:r>
          </w:p>
        </w:tc>
        <w:tc>
          <w:tcPr>
            <w:tcW w:type="dxa" w:w="3181"/>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Exclusion</w:t>
            </w:r>
          </w:p>
        </w:tc>
        <w:tc>
          <w:tcPr>
            <w:tcW w:type="dxa" w:w="964"/>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Applies?</w:t>
            </w:r>
          </w:p>
        </w:tc>
        <w:tc>
          <w:tcPr>
            <w:tcW w:type="dxa" w:w="4433"/>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Assessment</w:t>
            </w:r>
          </w:p>
        </w:tc>
      </w:tr>
      <w:tr>
        <w:trPr>
          <w:cantSplit/>
        </w:trPr>
        <w:tc>
          <w:tcPr>
            <w:tcW w:type="dxa" w:w="106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2(2)(a)</w:t>
            </w:r>
          </w:p>
        </w:tc>
        <w:tc>
          <w:tcPr>
            <w:tcW w:type="dxa" w:w="318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Private ESG ratings not intended for public disclosure or distribution</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No</w:t>
            </w:r>
          </w:p>
        </w:tc>
        <w:tc>
          <w:tcPr>
            <w:tcW w:type="dxa" w:w="443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The index is published on a public website.</w:t>
            </w:r>
          </w:p>
        </w:tc>
      </w:tr>
      <w:tr>
        <w:trPr>
          <w:cantSplit/>
        </w:trPr>
        <w:tc>
          <w:tcPr>
            <w:tcW w:type="dxa" w:w="106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2(2)(e)</w:t>
            </w:r>
          </w:p>
        </w:tc>
        <w:tc>
          <w:tcPr>
            <w:tcW w:type="dxa" w:w="318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Publication or distribution of data on ESG factors</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No</w:t>
            </w:r>
          </w:p>
        </w:tc>
        <w:tc>
          <w:tcPr>
            <w:tcW w:type="dxa" w:w="443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The product does more than redistribute data: it applies an established methodology and a defined ranking system (risk bands), which meets the Art. 3(1) definition of an ESG rating.</w:t>
            </w:r>
          </w:p>
        </w:tc>
      </w:tr>
      <w:tr>
        <w:trPr>
          <w:cantSplit/>
        </w:trPr>
        <w:tc>
          <w:tcPr>
            <w:tcW w:type="dxa" w:w="106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2(2)(j)</w:t>
            </w:r>
          </w:p>
        </w:tc>
        <w:tc>
          <w:tcPr>
            <w:tcW w:type="dxa" w:w="318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ESG ratings issued by Union institutions or Member State public authorities not published for commercial purposes</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No</w:t>
            </w:r>
          </w:p>
        </w:tc>
        <w:tc>
          <w:tcPr>
            <w:tcW w:type="dxa" w:w="443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The provider is a private undertaking, not a public authority.</w:t>
            </w:r>
          </w:p>
        </w:tc>
      </w:tr>
      <w:tr>
        <w:trPr>
          <w:cantSplit/>
        </w:trPr>
        <w:tc>
          <w:tcPr>
            <w:tcW w:type="dxa" w:w="106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2(2)(o)</w:t>
            </w:r>
          </w:p>
        </w:tc>
        <w:tc>
          <w:tcPr>
            <w:tcW w:type="dxa" w:w="318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ESG ratings developed exclusively for accreditation or certification processes not targeting investment or financial decision-making</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No</w:t>
            </w:r>
          </w:p>
        </w:tc>
        <w:tc>
          <w:tcPr>
            <w:tcW w:type="dxa" w:w="443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The index is a general-purpose territorial risk assessment that may inform financial decision-making.</w:t>
            </w:r>
          </w:p>
        </w:tc>
      </w:tr>
    </w:tbl>
    <w:p>
      <w:pPr>
        <w:pStyle w:val="Heading2"/>
        <w:spacing w:after="120" w:before="280"/>
      </w:pPr>
      <w:r>
        <w:t xml:space="preserve">1.4 Provider status under the Regulation</w:t>
      </w:r>
    </w:p>
    <w:p>
      <w:pPr>
        <w:spacing w:after="100" w:line="276"/>
      </w:pPr>
      <w:r>
        <w:rPr>
          <w:sz w:val="20"/>
          <w:szCs w:val="20"/>
        </w:rPr>
        <w:t xml:space="preserve">Article 5 provides a temporary regime for small ESG rating providers (A provider categorised as a small undertaking or small group under Article 3(2)/(5) of Directive 2013/34/EU, established in the Union): Only Article 15(1), (5) and (7), Articles 23 and 24, and Articles 32 to 37 apply, provided the provider notifies ESMA of its intention to operate and is registered by ESMA before starting to operate. The regime lasts Until the provider ceases to be small or three years after registration, whichever occurs first; then full authorisation must be applied for within six months. Providers already operating at entry into force had to notify ESMA by 2 August 2026 (Art. 51). The disclosure obligations of Articles 23 and 24 addressed by this document apply in full under both the ordinary and the small-provider regime.</w:t>
      </w:r>
    </w:p>
    <w:p>
      <w:pPr>
        <w:spacing w:after="100" w:line="276"/>
      </w:pPr>
      <w:r>
        <w:rPr>
          <w:sz w:val="20"/>
          <w:szCs w:val="20"/>
          <w:highlight w:val="yellow"/>
          <w:highlightCs w:val="yellow"/>
        </w:rPr>
        <w:t xml:space="preserve">[TO BE COMPLETED BY THE PROVIDER: state the legal entity issuing the Index, its LEI, registered office and Member State of establishment; state whether the entity has notified ESMA under Article 5 (small provider) or applied for authorisation under Article 6, with the date and ESMA reference; state the size category under Directive 2013/34/EU]</w:t>
      </w:r>
    </w:p>
    <w:p>
      <w:pPr>
        <w:pStyle w:val="Heading2"/>
        <w:spacing w:after="120" w:before="280"/>
      </w:pPr>
      <w:r>
        <w:t xml:space="preserve">1.5 Product identification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6747"/>
      </w:tblGrid>
      <w:tr>
        <w:trPr>
          <w:cantSplit/>
          <w:tblHeader/>
        </w:trPr>
        <w:tc>
          <w:tcPr>
            <w:tcW w:type="dxa" w:w="2891"/>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Element</w:t>
            </w:r>
          </w:p>
        </w:tc>
        <w:tc>
          <w:tcPr>
            <w:tcW w:type="dxa" w:w="6747"/>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Disclosure</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Rating product</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ESG Country Risk — Italy (Regional ESG Risk Index)</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Type of ESG rating</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Aggregated ESG risk rating (E, S and G) of territorial public authorities, with separately disclosed pillar scores and thematic group scores</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Rated items</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 Italian regions (NUTS 2 level; Trentino-Alto Adige/Südtirol is rated as one region, aggregating the autonomous provinces of Trento and Bolzano)</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Provider</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Ecomate</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Methodology version</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1.2 — last revision 29 September 2026</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Current data vintage</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Scores generated on 29 September 2026 from 278 indicators (reference years 1998–2026; 3 climate projections for 2040–2059)</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Publication channel</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highlight w:val="yellow"/>
                <w:highlightCs w:val="yellow"/>
              </w:rPr>
              <w:t xml:space="preserve">[TO BE COMPLETED BY THE PROVIDER: public URL of the Index website]</w:t>
            </w:r>
            <w:r>
              <w:rPr>
                <w:sz w:val="17"/>
                <w:szCs w:val="17"/>
              </w:rPr>
              <w:t xml:space="preserve"> — interactive map, region pages, methodology page and this document</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Solicitation status</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Unsolicited — see the prominent statement below</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00818C" w:sz="12"/>
              <w:left w:val="single" w:color="D1D5DB" w:sz="4"/>
              <w:bottom w:val="single" w:color="D1D5DB" w:sz="4"/>
              <w:right w:val="single" w:color="D1D5DB" w:sz="4"/>
            </w:tcBorders>
            <w:shd w:fill="E6F3F4" w:val="clear"/>
            <w:tcMar>
              <w:top w:type="dxa" w:w="120"/>
              <w:left w:type="dxa" w:w="160"/>
              <w:bottom w:type="dxa" w:w="120"/>
              <w:right w:type="dxa" w:w="160"/>
            </w:tcMar>
          </w:tcPr>
          <w:p>
            <w:pPr>
              <w:spacing w:after="60"/>
            </w:pPr>
            <w:r>
              <w:rPr>
                <w:b/>
                <w:bCs/>
                <w:color w:val="005F66"/>
                <w:sz w:val="20"/>
                <w:szCs w:val="20"/>
              </w:rPr>
              <w:t xml:space="preserve">Unsolicited ESG ratings — prominent statement (Annex III, point 2(d))</w:t>
            </w:r>
          </w:p>
          <w:p>
            <w:pPr>
              <w:spacing w:after="60"/>
            </w:pPr>
            <w:r>
              <w:rPr>
                <w:sz w:val="19"/>
                <w:szCs w:val="19"/>
              </w:rPr>
              <w:t xml:space="preserve">All ratings in the ESG Country Risk — Italy (Regional ESG Risk Index) are unsolicited. None of the rated items (the 20 Italian regions) requested, commissioned or paid for a rating.</w:t>
            </w:r>
          </w:p>
          <w:p>
            <w:pPr>
              <w:spacing w:after="60"/>
            </w:pPr>
            <w:r>
              <w:rPr>
                <w:sz w:val="19"/>
                <w:szCs w:val="19"/>
              </w:rPr>
              <w:t xml:space="preserve">The rated items were not informed before publication, did not participate in the rating process, and did not provide access to management, internal documents or non-public information. The ratings are based exclusively on official statistics and public datasets published by third-party institutions.</w:t>
            </w:r>
          </w:p>
        </w:tc>
      </w:tr>
    </w:tbl>
    <w:p>
      <w:pPr>
        <w:pStyle w:val="Heading1"/>
        <w:spacing w:after="160" w:before="360"/>
      </w:pPr>
      <w:r>
        <w:t xml:space="preserve">2. Rating product disclosures (Annex III, points 1(f), 1(g), 1(h), 1(i), 1(j), 1(o), 1(p))</w:t>
      </w:r>
    </w:p>
    <w:p>
      <w:pPr>
        <w:pStyle w:val="Heading2"/>
        <w:spacing w:after="120" w:before="280"/>
      </w:pPr>
      <w:r>
        <w:t xml:space="preserve">2.1 Objective of the rating (point 1(f); RTS Article 3(1)(a))</w:t>
      </w:r>
    </w:p>
    <w:p>
      <w:pPr>
        <w:spacing w:after="100" w:line="276"/>
      </w:pPr>
      <w:r>
        <w:rPr>
          <w:sz w:val="20"/>
          <w:szCs w:val="20"/>
        </w:rPr>
        <w:t xml:space="preserve">The objective of the Index is to measure and compare the exposure of each Italian region to environmental, social and governance risks, using exclusively official and public statistics, in order to support territorial risk screening by users such as financial institutions, insurers, investors, corporate risk functions, public bodies and researchers. The Index answers the question "how exposed is this territory to ESG risks, relative to the other Italian regions?". It is not an opinion on the creditworthiness of the region, on the quality of its administration as a legal person, or on any financial instrument issued by it.</w:t>
      </w:r>
    </w:p>
    <w:p>
      <w:pPr>
        <w:pStyle w:val="Heading2"/>
        <w:spacing w:after="120" w:before="280"/>
      </w:pPr>
      <w:r>
        <w:t xml:space="preserve">2.2 Dimension assessed: risk, impact or double materiality (point 1(f); RTS Article 3(1)(b))</w:t>
      </w:r>
    </w:p>
    <w:p>
      <w:pPr>
        <w:spacing w:after="100" w:line="276"/>
      </w:pPr>
      <w:r>
        <w:rPr>
          <w:sz w:val="20"/>
          <w:szCs w:val="20"/>
        </w:rPr>
        <w:t xml:space="preserve">The Index assesses the risk dimension: the exposure of the territory (its population, economy, natural capital and institutions) to ESG risks and its resilience to them. It is not a double-materiality rating and does not purport to measure the impact of the region on the environment or on society. Several environmental indicators are impact-type metrics (for example greenhouse-gas emissions per capita, land consumption, waste generation); in the Index they are used as proxies of transition, regulatory and physical risk to the territory, not as a measure of the region's outward impact. Because a single dimension is assessed, no proportion between risk and impact is reported.</w:t>
      </w:r>
    </w:p>
    <w:p>
      <w:pPr>
        <w:pStyle w:val="Heading2"/>
        <w:spacing w:after="120" w:before="280"/>
      </w:pPr>
      <w:r>
        <w:t xml:space="preserve">2.3 Risks and impacts covered (point 1(f); RTS Article 3(1)(c))</w:t>
      </w:r>
    </w:p>
    <w:p>
      <w:pPr>
        <w:pStyle w:val="ListParagraph"/>
        <w:numPr>
          <w:ilvl w:val="0"/>
          <w:numId w:val="1"/>
        </w:numPr>
        <w:spacing w:after="60" w:line="276"/>
      </w:pPr>
      <w:r>
        <w:rPr>
          <w:b/>
          <w:bCs/>
          <w:sz w:val="20"/>
          <w:szCs w:val="20"/>
        </w:rPr>
        <w:t xml:space="preserve">Environmental: </w:t>
      </w:r>
      <w:r>
        <w:rPr>
          <w:sz w:val="20"/>
          <w:szCs w:val="20"/>
        </w:rPr>
        <w:t xml:space="preserve">physical hazards (seismic classification and volcano register of the Civil Protection Department, coastal flood and tsunami levels, heat exposure), hydrogeological hazard exposure (landslide and flood hazard areas, ISPRA), greenhouse-gas emissions and energy transition risk, air and water quality, noise, soil erosion, biodiversity and ecosystem degradation (including forest loss and pollination), waste and circular economy, landscape and land consumption.</w:t>
      </w:r>
    </w:p>
    <w:p>
      <w:pPr>
        <w:pStyle w:val="ListParagraph"/>
        <w:numPr>
          <w:ilvl w:val="0"/>
          <w:numId w:val="1"/>
        </w:numPr>
        <w:spacing w:after="60" w:line="276"/>
      </w:pPr>
      <w:r>
        <w:rPr>
          <w:b/>
          <w:bCs/>
          <w:sz w:val="20"/>
          <w:szCs w:val="20"/>
        </w:rPr>
        <w:t xml:space="preserve">Social: </w:t>
      </w:r>
      <w:r>
        <w:rPr>
          <w:sz w:val="20"/>
          <w:szCs w:val="20"/>
        </w:rPr>
        <w:t xml:space="preserve">health outcomes and healthcare access, education and skills, labour market conditions and work-life balance, economic well-being and poverty, social relations, personal safety and crime (including violence against women), subjective well-being, demographic pressure and ageing, gender equality, food security.</w:t>
      </w:r>
    </w:p>
    <w:p>
      <w:pPr>
        <w:pStyle w:val="ListParagraph"/>
        <w:numPr>
          <w:ilvl w:val="0"/>
          <w:numId w:val="1"/>
        </w:numPr>
        <w:spacing w:after="60" w:line="276"/>
      </w:pPr>
      <w:r>
        <w:rPr>
          <w:b/>
          <w:bCs/>
          <w:sz w:val="20"/>
          <w:szCs w:val="20"/>
        </w:rPr>
        <w:t xml:space="preserve">Governance: </w:t>
      </w:r>
      <w:r>
        <w:rPr>
          <w:sz w:val="20"/>
          <w:szCs w:val="20"/>
        </w:rPr>
        <w:t xml:space="preserve">institutional quality and trust, political participation, justice system efficiency, quality of public services, innovation and research capacity, digitalisation, infrastructure resilience and, since version 1.2, the administrative performance of the region itself: stewardship of the health service (essential levels of care, deficit recovery-plan regime), public finance and payment discipline (local debt per inhabitant, payment delay to suppliers), delivery of EU funds across the 2014–2020, 2021–2027 and PNRR cycles, and climate governance (municipal climate action plans under the Covenant of Mayors, stage of the regional adaptation strategy and plan). Economic-level outcomes (GDP, investment, credit defaults) are not treated as governance quality and are excluded from the factor since version 1.1; GDP per capita is not scored and enters only the collinearity diagnostic disclosed as a limitation (section 6.2).</w:t>
      </w:r>
    </w:p>
    <w:p>
      <w:pPr>
        <w:spacing w:after="100" w:line="276"/>
      </w:pPr>
      <w:r>
        <w:rPr>
          <w:sz w:val="20"/>
          <w:szCs w:val="20"/>
        </w:rPr>
        <w:t xml:space="preserve">Human-rights factors are covered indirectly through social indicators on poverty, discrimination-sensitive outcomes (gender gaps) and access to essential services; the Index does not assess human-rights compliance of the regional administration as such.</w:t>
      </w:r>
    </w:p>
    <w:p>
      <w:pPr>
        <w:pStyle w:val="Heading2"/>
        <w:spacing w:after="120" w:before="280"/>
      </w:pPr>
      <w:r>
        <w:t xml:space="preserve">2.4 Scope: aggregated rating and coverage of each factor (point 1(g); RTS Article 3(2))</w:t>
      </w:r>
    </w:p>
    <w:p>
      <w:pPr>
        <w:spacing w:after="100" w:line="276"/>
      </w:pPr>
      <w:r>
        <w:rPr>
          <w:sz w:val="20"/>
          <w:szCs w:val="20"/>
        </w:rPr>
        <w:t xml:space="preserve">The Index is an aggregated ESG rating. It publishes, for every region, a total score, one score for each of the three factors (E, S, G) and one score for each thematic group within a factor, so that users can also read it as three separate single-factor ratings. The current vintage covers 88 environmental, 128 social and 62 governance indicators, organised into 16, 14 and 10 thematic groups respectively: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49"/>
        <w:gridCol w:w="5783"/>
        <w:gridCol w:w="1060"/>
        <w:gridCol w:w="1446"/>
      </w:tblGrid>
      <w:tr>
        <w:trPr>
          <w:cantSplit/>
          <w:tblHeader/>
        </w:trPr>
        <w:tc>
          <w:tcPr>
            <w:tcW w:type="dxa" w:w="1349"/>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Factor</w:t>
            </w:r>
          </w:p>
        </w:tc>
        <w:tc>
          <w:tcPr>
            <w:tcW w:type="dxa" w:w="5783"/>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Thematic group</w:t>
            </w:r>
          </w:p>
        </w:tc>
        <w:tc>
          <w:tcPr>
            <w:tcW w:type="dxa" w:w="1060"/>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Indicators</w:t>
            </w:r>
          </w:p>
        </w:tc>
        <w:tc>
          <w:tcPr>
            <w:tcW w:type="dxa" w:w="1446"/>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Source</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578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Air quality</w:t>
            </w:r>
          </w:p>
        </w:tc>
        <w:tc>
          <w:tcPr>
            <w:tcW w:type="dxa" w:w="106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3</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AIR</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578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Ambiente</w:t>
            </w:r>
          </w:p>
        </w:tc>
        <w:tc>
          <w:tcPr>
            <w:tcW w:type="dxa" w:w="106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 / AVQ / UWWTD / SUOLO</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578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Biodiversity and land</w:t>
            </w:r>
          </w:p>
        </w:tc>
        <w:tc>
          <w:tcPr>
            <w:tcW w:type="dxa" w:w="106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JRC / WWF / EUROSTAT</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578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Emissions and transition risk</w:t>
            </w:r>
          </w:p>
        </w:tc>
        <w:tc>
          <w:tcPr>
            <w:tcW w:type="dxa" w:w="106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4</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EUROSTAT / EMIS / SIAPE</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578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Forests</w:t>
            </w:r>
          </w:p>
        </w:tc>
        <w:tc>
          <w:tcPr>
            <w:tcW w:type="dxa" w:w="106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GNW</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578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Hydrogeological hazard</w:t>
            </w:r>
          </w:p>
        </w:tc>
        <w:tc>
          <w:tcPr>
            <w:tcW w:type="dxa" w:w="106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ISPRA</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578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Paesaggio e patrimonio culturale</w:t>
            </w:r>
          </w:p>
        </w:tc>
        <w:tc>
          <w:tcPr>
            <w:tcW w:type="dxa" w:w="106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11</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578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Physical hazards</w:t>
            </w:r>
          </w:p>
        </w:tc>
        <w:tc>
          <w:tcPr>
            <w:tcW w:type="dxa" w:w="106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EUROSTAT / DPC / RADON / TH</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578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Pollution pressures</w:t>
            </w:r>
          </w:p>
        </w:tc>
        <w:tc>
          <w:tcPr>
            <w:tcW w:type="dxa" w:w="106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RIR / EMIS / GW</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578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Projected climate hazards</w:t>
            </w:r>
          </w:p>
        </w:tc>
        <w:tc>
          <w:tcPr>
            <w:tcW w:type="dxa" w:w="106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3</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CCKP</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578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11 — Sustainable cities and communities</w:t>
            </w:r>
          </w:p>
        </w:tc>
        <w:tc>
          <w:tcPr>
            <w:tcW w:type="dxa" w:w="106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7</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578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12 — Responsible consumption and production</w:t>
            </w:r>
          </w:p>
        </w:tc>
        <w:tc>
          <w:tcPr>
            <w:tcW w:type="dxa" w:w="106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4</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578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14 — Life below water</w:t>
            </w:r>
          </w:p>
        </w:tc>
        <w:tc>
          <w:tcPr>
            <w:tcW w:type="dxa" w:w="106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 BWD</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578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15 — Life on land</w:t>
            </w:r>
          </w:p>
        </w:tc>
        <w:tc>
          <w:tcPr>
            <w:tcW w:type="dxa" w:w="106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3</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578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6 — Clean water and sanitation</w:t>
            </w:r>
          </w:p>
        </w:tc>
        <w:tc>
          <w:tcPr>
            <w:tcW w:type="dxa" w:w="106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578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7 — Affordable and clean energy</w:t>
            </w:r>
          </w:p>
        </w:tc>
        <w:tc>
          <w:tcPr>
            <w:tcW w:type="dxa" w:w="106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578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Benessere economico</w:t>
            </w:r>
          </w:p>
        </w:tc>
        <w:tc>
          <w:tcPr>
            <w:tcW w:type="dxa" w:w="106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9</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 / SFRATTI / OIPE</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578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Benessere soggettivo</w:t>
            </w:r>
          </w:p>
        </w:tc>
        <w:tc>
          <w:tcPr>
            <w:tcW w:type="dxa" w:w="106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4</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578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Istruzione e formazione</w:t>
            </w:r>
          </w:p>
        </w:tc>
        <w:tc>
          <w:tcPr>
            <w:tcW w:type="dxa" w:w="106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15</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578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Lavoro e conciliazione dei tempi di vita</w:t>
            </w:r>
          </w:p>
        </w:tc>
        <w:tc>
          <w:tcPr>
            <w:tcW w:type="dxa" w:w="106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14</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578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Relazioni sociali</w:t>
            </w:r>
          </w:p>
        </w:tc>
        <w:tc>
          <w:tcPr>
            <w:tcW w:type="dxa" w:w="106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9</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578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Salute</w:t>
            </w:r>
          </w:p>
        </w:tc>
        <w:tc>
          <w:tcPr>
            <w:tcW w:type="dxa" w:w="106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16</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 / EUROSTAT</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578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1 — No poverty</w:t>
            </w:r>
          </w:p>
        </w:tc>
        <w:tc>
          <w:tcPr>
            <w:tcW w:type="dxa" w:w="106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578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10 — Reduced inequalities</w:t>
            </w:r>
          </w:p>
        </w:tc>
        <w:tc>
          <w:tcPr>
            <w:tcW w:type="dxa" w:w="106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578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2 — Zero hunger</w:t>
            </w:r>
          </w:p>
        </w:tc>
        <w:tc>
          <w:tcPr>
            <w:tcW w:type="dxa" w:w="106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6</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578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3 — Good health and well-being</w:t>
            </w:r>
          </w:p>
        </w:tc>
        <w:tc>
          <w:tcPr>
            <w:tcW w:type="dxa" w:w="106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16</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 EUROSTAT</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578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4 — Quality education</w:t>
            </w:r>
          </w:p>
        </w:tc>
        <w:tc>
          <w:tcPr>
            <w:tcW w:type="dxa" w:w="106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18</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578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5 — Gender equality</w:t>
            </w:r>
          </w:p>
        </w:tc>
        <w:tc>
          <w:tcPr>
            <w:tcW w:type="dxa" w:w="106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4</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578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8 — Decent work and economic growth</w:t>
            </w:r>
          </w:p>
        </w:tc>
        <w:tc>
          <w:tcPr>
            <w:tcW w:type="dxa" w:w="106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3</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578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Sicurezza</w:t>
            </w:r>
          </w:p>
        </w:tc>
        <w:tc>
          <w:tcPr>
            <w:tcW w:type="dxa" w:w="106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10</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578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Climate governance</w:t>
            </w:r>
          </w:p>
        </w:tc>
        <w:tc>
          <w:tcPr>
            <w:tcW w:type="dxa" w:w="106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GCOM / ADAPT</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578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EU-funds delivery</w:t>
            </w:r>
          </w:p>
        </w:tc>
        <w:tc>
          <w:tcPr>
            <w:tcW w:type="dxa" w:w="106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4</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OC / EC / PNRR</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578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Health governance</w:t>
            </w:r>
          </w:p>
        </w:tc>
        <w:tc>
          <w:tcPr>
            <w:tcW w:type="dxa" w:w="106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4</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MDS / PNE</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578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Innovazione, ricerca e creatività</w:t>
            </w:r>
          </w:p>
        </w:tc>
        <w:tc>
          <w:tcPr>
            <w:tcW w:type="dxa" w:w="106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10</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578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Politica e istituzioni</w:t>
            </w:r>
          </w:p>
        </w:tc>
        <w:tc>
          <w:tcPr>
            <w:tcW w:type="dxa" w:w="106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12</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 / EQI / MI</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578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Public finance and payment discipline</w:t>
            </w:r>
          </w:p>
        </w:tc>
        <w:tc>
          <w:tcPr>
            <w:tcW w:type="dxa" w:w="106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BDI / RGS</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578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Qualità dei servizi</w:t>
            </w:r>
          </w:p>
        </w:tc>
        <w:tc>
          <w:tcPr>
            <w:tcW w:type="dxa" w:w="106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15</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 / SNAI</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578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16 — Peace, justice and strong institutions</w:t>
            </w:r>
          </w:p>
        </w:tc>
        <w:tc>
          <w:tcPr>
            <w:tcW w:type="dxa" w:w="106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578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17 — Partnerships for the goals</w:t>
            </w:r>
          </w:p>
        </w:tc>
        <w:tc>
          <w:tcPr>
            <w:tcW w:type="dxa" w:w="106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3</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578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9 — Industry, innovation and infrastructure</w:t>
            </w:r>
          </w:p>
        </w:tc>
        <w:tc>
          <w:tcPr>
            <w:tcW w:type="dxa" w:w="106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4</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w:t>
            </w:r>
          </w:p>
        </w:tc>
      </w:tr>
    </w:tbl>
    <w:p>
      <w:pPr>
        <w:spacing w:after="80"/>
      </w:pPr>
      <w:r>
        <w:rPr>
          <w:color w:val="6B7280"/>
          <w:sz w:val="16"/>
          <w:szCs w:val="16"/>
        </w:rPr>
        <w:t xml:space="preserve">Group names follow the naming of the originating framework (ISTAT BES domains in Italian; UN SDG goals as implemented by ISTAT; external providers). The full indicator list is in Annex A.</w:t>
      </w:r>
    </w:p>
    <w:p>
      <w:pPr>
        <w:pStyle w:val="Heading2"/>
        <w:spacing w:after="120" w:before="280"/>
      </w:pPr>
      <w:r>
        <w:t xml:space="preserve">2.5 Weighting of the E, S and G categories (point 1(h))</w:t>
      </w:r>
    </w:p>
    <w:p>
      <w:pPr>
        <w:spacing w:after="100" w:line="276"/>
      </w:pPr>
      <w:r>
        <w:rPr>
          <w:sz w:val="20"/>
          <w:szCs w:val="20"/>
        </w:rPr>
        <w:t xml:space="preserve">The three factors are combined with fixed, equal weights: Environmental 33.3%, Social 33.3%, Governance 33.3%. Within each factor, thematic groups have equal weight; within each group, indicators have equal weight. Where the same theme is measured by more than one provider (for example biodiversity and land measured by WWF, Eurostat and JRC data), or where a single external series measures the theme of an ISTAT BES domain (the European Quality of Government Index and the BES domain "Politica e istituzioni"), the indicators are assigned a common group key so that the theme is weighted once within the factor rather than once per provider. The group composition rules are published in the machine-readable methodology file (thematicGroups) and reproduced in Annex B.4.</w:t>
      </w:r>
    </w:p>
    <w:p>
      <w:pPr>
        <w:spacing w:after="100" w:line="276"/>
      </w:pPr>
      <w:r>
        <w:rPr>
          <w:sz w:val="20"/>
          <w:szCs w:val="20"/>
        </w:rPr>
        <w:t xml:space="preserve">Rationale: there is no scientifically established basis for ranking the materiality of one ESG factor above another for a whole territory, and equal weighting is the most transparent and least discretionary choice for a composite indicator (OECD/JRC, Handbook on Constructing Composite Indicators, 2008). The number of indicators in a group therefore does not increase the weight of that group: a group with two indicators and a group with twenty indicators count the same within their factor. To limit the influence of a single series, every thematic group must hold at least 2 indicators; the build fails otherwise. The effect of these choices is discussed among the limitations in section 6.</w:t>
      </w:r>
    </w:p>
    <w:p>
      <w:pPr>
        <w:pStyle w:val="Heading2"/>
        <w:spacing w:after="120" w:before="280"/>
      </w:pPr>
      <w:r>
        <w:t xml:space="preserve">2.6 Absolute or relative value (point 1(j))</w:t>
      </w:r>
    </w:p>
    <w:p>
      <w:pPr>
        <w:spacing w:after="100" w:line="276"/>
      </w:pPr>
      <w:r>
        <w:rPr>
          <w:sz w:val="20"/>
          <w:szCs w:val="20"/>
        </w:rPr>
        <w:t xml:space="preserve">The Index is a relative rating. Every indicator is rescaled between the best- and worst-performing region of the same data vintage (min-max normalisation across the 20 regions), so a score of 100 means "best of the Italian regions" and 0 means "worst of the Italian regions" on that indicator. Scores are therefore comparable between regions within a vintage but are not absolute measures against a physical threshold or a policy target, are not comparable with ratings of other countries, and are not directly comparable across vintages (see section 8.2).</w:t>
      </w:r>
    </w:p>
    <w:p>
      <w:pPr>
        <w:pStyle w:val="Heading2"/>
        <w:spacing w:after="120" w:before="280"/>
      </w:pPr>
      <w:r>
        <w:t xml:space="preserve">2.7 International agreements, Paris alignment and Taxonomy (points 1(o), 1(p); Annex III point 2(a)(viii); RTS Article 3(3))</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6747"/>
      </w:tblGrid>
      <w:tr>
        <w:trPr>
          <w:cantSplit/>
          <w:tblHeader/>
        </w:trPr>
        <w:tc>
          <w:tcPr>
            <w:tcW w:type="dxa" w:w="2891"/>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Element</w:t>
            </w:r>
          </w:p>
        </w:tc>
        <w:tc>
          <w:tcPr>
            <w:tcW w:type="dxa" w:w="6747"/>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Disclosure</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Paris Agreement (E factor)</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Not assessed. The E factor includes greenhouse-gas emissions per capita and transition-risk indicators (employment in carbon-intensive sectors), which relate to the mitigation objectives of the Paris Agreement, but the Index does not assess whether regional commitments or plans are aligned with the Paris Agreement temperature goals or with national climate targets.</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Other environmental agreements</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Not assessed as alignment. The UN 2030 Agenda (SDG indicator framework, as implemented by ISTAT) is used as an organising framework for indicator selection, not as an alignment test.</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Taxonomy Regulation (EU) 2020/852</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No correlation is computed between the E factor and Taxonomy alignment. Rated items are public authorities and do not report Taxonomy KPIs. Any deviation between the Index and Taxonomy-based measures is therefore expected and not analysed.</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 and G factors</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No explicit assessment of alignment with international agreements (for example ILO conventions, UN Guiding Principles on Business and Human Rights, UN Convention against Corruption). Social and governance indicators are outcome statistics from official sources.</w:t>
            </w:r>
          </w:p>
        </w:tc>
      </w:tr>
    </w:tbl>
    <w:p>
      <w:pPr>
        <w:pStyle w:val="Heading1"/>
        <w:spacing w:after="160" w:before="360"/>
      </w:pPr>
      <w:r>
        <w:t xml:space="preserve">3. General methodological disclosures — overview (Annex III, points 1(a), 1(b), 1(e); RTS Article 4)</w:t>
      </w:r>
    </w:p>
    <w:p>
      <w:pPr>
        <w:pStyle w:val="Heading2"/>
        <w:spacing w:after="120" w:before="280"/>
      </w:pPr>
      <w:r>
        <w:t xml:space="preserve">3.1 Title, rated items, validity horizon and time orientation (RTS Article 4(1)(a)–(d))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6747"/>
      </w:tblGrid>
      <w:tr>
        <w:trPr>
          <w:cantSplit/>
          <w:tblHeader/>
        </w:trPr>
        <w:tc>
          <w:tcPr>
            <w:tcW w:type="dxa" w:w="2891"/>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Element</w:t>
            </w:r>
          </w:p>
        </w:tc>
        <w:tc>
          <w:tcPr>
            <w:tcW w:type="dxa" w:w="6747"/>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Disclosure</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Title of the methodology</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ESG Country Risk — Italy (Regional ESG Risk Index) — Methodology, version 1.2</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Types of rated items</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Territorial public authorities: Italian regions (NUTS 2). The methodology is not applied to legal persons other than regions, to financial instruments or to financial products.</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Validity horizon</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 vintage of scores is valid until it is superseded by the next vintage. Vintages are produced at least once a year following the release of the ISTAT BES and SDG updates (section 4.5). The methodology itself is reviewed at least annually (section 8.1).</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Backward- or forward-looking</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Mainly backward-looking. Scores are computed from the most recent available observation of each indicator (reference years 1998–2026 in the current vintage), except for the 3 indicators of the Projected climate hazards group, which are forward-looking: the change between 1995–2014 and 2040–2059 in days above 35 °C, in the 12-month drought index SPEI and in the wettest day of the year, projected by the CMIP6 ensemble median under the high-emission scenario SSP5-8.5 (World Bank Climate Change Knowledge Portal), the scenario ESRS E1 asks physical-risk analysis to consider. No other projections, scenarios or forward-looking targets are used; hazard classifications (Civil Protection seismic zones and volcano register; ThinkHazard! coastal flood and tsunami levels) express present-day hazard levels rather than observed events.</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Supporting models</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Deterministic arithmetic pipeline (section 5). No statistical-learning or AI model is used and no model enters the score. The only statistic published alongside the scores is the correlation of the total with GDP per capita, disclosed as a limitation (section 6.2); the scores are not adjusted for income.</w:t>
            </w:r>
          </w:p>
        </w:tc>
      </w:tr>
    </w:tbl>
    <w:p>
      <w:pPr>
        <w:pStyle w:val="Heading2"/>
        <w:spacing w:after="120" w:before="280"/>
      </w:pPr>
      <w:r>
        <w:t xml:space="preserve">3.2 Ranking system and meaning of the rating categories (RTS Article 4(1)(g))</w:t>
      </w:r>
    </w:p>
    <w:p>
      <w:pPr>
        <w:spacing w:after="100" w:line="276"/>
      </w:pPr>
      <w:r>
        <w:rPr>
          <w:sz w:val="20"/>
          <w:szCs w:val="20"/>
        </w:rPr>
        <w:t xml:space="preserve">Total, factor and group scores lie on a continuous scale from 0 to 100, where higher means lower ESG risk. They are computed and aggregated without intermediate rounding and rounded only for presentation, always to the nearest integer (map, score cards, ranking table, region pages and Annex C). Scores are mapped to 7 rating categories (risk bands) on the basis of the score rounded to the nearest integer. Regions are ranked on the unrounded total and on each unrounded factor score; regions with identical unrounded scores share a joint rank. The comparative reference of every category is the set of 20 Italian regions in the same vintage; the categories are relative, not absolute.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10"/>
        <w:gridCol w:w="1928"/>
        <w:gridCol w:w="5301"/>
      </w:tblGrid>
      <w:tr>
        <w:trPr>
          <w:cantSplit/>
          <w:tblHeader/>
        </w:trPr>
        <w:tc>
          <w:tcPr>
            <w:tcW w:type="dxa" w:w="2410"/>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Category</w:t>
            </w:r>
          </w:p>
        </w:tc>
        <w:tc>
          <w:tcPr>
            <w:tcW w:type="dxa" w:w="1928"/>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Score range</w:t>
            </w:r>
          </w:p>
        </w:tc>
        <w:tc>
          <w:tcPr>
            <w:tcW w:type="dxa" w:w="5301"/>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Meaning</w:t>
            </w:r>
          </w:p>
        </w:tc>
      </w:tr>
      <w:tr>
        <w:trPr>
          <w:cantSplit/>
        </w:trPr>
        <w:tc>
          <w:tcPr>
            <w:tcW w:type="dxa" w:w="241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Very low risk</w:t>
            </w:r>
          </w:p>
        </w:tc>
        <w:tc>
          <w:tcPr>
            <w:tcW w:type="dxa" w:w="192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86–100</w:t>
            </w:r>
          </w:p>
        </w:tc>
        <w:tc>
          <w:tcPr>
            <w:tcW w:type="dxa" w:w="530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Region scores in the very low risk band relative to the other Italian regions</w:t>
            </w:r>
          </w:p>
        </w:tc>
      </w:tr>
      <w:tr>
        <w:trPr>
          <w:cantSplit/>
        </w:trPr>
        <w:tc>
          <w:tcPr>
            <w:tcW w:type="dxa" w:w="241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Low risk</w:t>
            </w:r>
          </w:p>
        </w:tc>
        <w:tc>
          <w:tcPr>
            <w:tcW w:type="dxa" w:w="192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71–85</w:t>
            </w:r>
          </w:p>
        </w:tc>
        <w:tc>
          <w:tcPr>
            <w:tcW w:type="dxa" w:w="530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Region scores in the low risk band relative to the other Italian regions</w:t>
            </w:r>
          </w:p>
        </w:tc>
      </w:tr>
      <w:tr>
        <w:trPr>
          <w:cantSplit/>
        </w:trPr>
        <w:tc>
          <w:tcPr>
            <w:tcW w:type="dxa" w:w="241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Medium-low risk</w:t>
            </w:r>
          </w:p>
        </w:tc>
        <w:tc>
          <w:tcPr>
            <w:tcW w:type="dxa" w:w="192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57–70</w:t>
            </w:r>
          </w:p>
        </w:tc>
        <w:tc>
          <w:tcPr>
            <w:tcW w:type="dxa" w:w="530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Region scores in the medium-low risk band relative to the other Italian regions</w:t>
            </w:r>
          </w:p>
        </w:tc>
      </w:tr>
      <w:tr>
        <w:trPr>
          <w:cantSplit/>
        </w:trPr>
        <w:tc>
          <w:tcPr>
            <w:tcW w:type="dxa" w:w="241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Medium risk</w:t>
            </w:r>
          </w:p>
        </w:tc>
        <w:tc>
          <w:tcPr>
            <w:tcW w:type="dxa" w:w="192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43–56</w:t>
            </w:r>
          </w:p>
        </w:tc>
        <w:tc>
          <w:tcPr>
            <w:tcW w:type="dxa" w:w="530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Region scores in the medium risk band relative to the other Italian regions</w:t>
            </w:r>
          </w:p>
        </w:tc>
      </w:tr>
      <w:tr>
        <w:trPr>
          <w:cantSplit/>
        </w:trPr>
        <w:tc>
          <w:tcPr>
            <w:tcW w:type="dxa" w:w="241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Medium-high risk</w:t>
            </w:r>
          </w:p>
        </w:tc>
        <w:tc>
          <w:tcPr>
            <w:tcW w:type="dxa" w:w="192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29–42</w:t>
            </w:r>
          </w:p>
        </w:tc>
        <w:tc>
          <w:tcPr>
            <w:tcW w:type="dxa" w:w="530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Region scores in the medium-high risk band relative to the other Italian regions</w:t>
            </w:r>
          </w:p>
        </w:tc>
      </w:tr>
      <w:tr>
        <w:trPr>
          <w:cantSplit/>
        </w:trPr>
        <w:tc>
          <w:tcPr>
            <w:tcW w:type="dxa" w:w="241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High risk</w:t>
            </w:r>
          </w:p>
        </w:tc>
        <w:tc>
          <w:tcPr>
            <w:tcW w:type="dxa" w:w="192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14–28</w:t>
            </w:r>
          </w:p>
        </w:tc>
        <w:tc>
          <w:tcPr>
            <w:tcW w:type="dxa" w:w="530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Region scores in the high risk band relative to the other Italian regions</w:t>
            </w:r>
          </w:p>
        </w:tc>
      </w:tr>
      <w:tr>
        <w:trPr>
          <w:cantSplit/>
        </w:trPr>
        <w:tc>
          <w:tcPr>
            <w:tcW w:type="dxa" w:w="241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Very high risk</w:t>
            </w:r>
          </w:p>
        </w:tc>
        <w:tc>
          <w:tcPr>
            <w:tcW w:type="dxa" w:w="192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0–13</w:t>
            </w:r>
          </w:p>
        </w:tc>
        <w:tc>
          <w:tcPr>
            <w:tcW w:type="dxa" w:w="530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Region scores in the very high risk band relative to the other Italian regions</w:t>
            </w:r>
          </w:p>
        </w:tc>
      </w:tr>
    </w:tbl>
    <w:p>
      <w:pPr>
        <w:pStyle w:val="Heading2"/>
        <w:spacing w:after="120" w:before="280"/>
      </w:pPr>
      <w:r>
        <w:t xml:space="preserve">3.3 Industry classification (point 1(b); RTS Article 4(2))</w:t>
      </w:r>
    </w:p>
    <w:p>
      <w:pPr>
        <w:spacing w:after="100" w:line="276"/>
      </w:pPr>
      <w:r>
        <w:rPr>
          <w:sz w:val="20"/>
          <w:szCs w:val="20"/>
        </w:rPr>
        <w:t xml:space="preserve">Not applicable: the rated items are territories, not undertakings, so no industry classification (NACE, GICS or similar) is used to group rated items or to set peer groups. The territorial classification used instead is the Nomenclature of Territorial Units for Statistics (NUTS), level 2, established by Regulation (EC) No 1059/2003 of the European Parliament and of the Council and maintained by Eurostat (current version NUTS 2024).</w:t>
      </w:r>
    </w:p>
    <w:p>
      <w:pPr>
        <w:spacing w:after="100" w:line="276"/>
      </w:pPr>
      <w:r>
        <w:rPr>
          <w:sz w:val="20"/>
          <w:szCs w:val="20"/>
        </w:rPr>
        <w:t xml:space="preserve">Official documentation: </w:t>
      </w:r>
      <w:hyperlink w:history="1" r:id="rIdozmw_yywvchhbab0wqcjo">
        <w:r>
          <w:rPr>
            <w:rStyle w:val="Hyperlink"/>
            <w:sz w:val="20"/>
            <w:szCs w:val="20"/>
          </w:rPr>
          <w:t xml:space="preserve">https://ec.europa.eu/eurostat/web/nuts</w:t>
        </w:r>
      </w:hyperlink>
      <w:r>
        <w:rPr>
          <w:sz w:val="20"/>
          <w:szCs w:val="20"/>
        </w:rPr>
        <w:t xml:space="preserve">. Italian sources use the ISTAT regional codes, which coincide with NUTS 2 except that the two autonomous provinces of Trento (ITH2) and Bolzano/Bozen (ITH1) are aggregated into the region Trentino-Alto Adige/Südtirol; ratios for that region are computed as ratio of sums, never as the mean of two ratios.</w:t>
      </w:r>
    </w:p>
    <w:p>
      <w:pPr>
        <w:pStyle w:val="Heading2"/>
        <w:spacing w:after="120" w:before="280"/>
      </w:pPr>
      <w:r>
        <w:t xml:space="preserve">3.4 Scientific evidence and its identification (point 1(e); RTS Article 4(4); Annex III point 2(a)(i))</w:t>
      </w:r>
    </w:p>
    <w:p>
      <w:pPr>
        <w:spacing w:after="100" w:line="276"/>
      </w:pPr>
      <w:r>
        <w:rPr>
          <w:sz w:val="20"/>
          <w:szCs w:val="20"/>
        </w:rPr>
        <w:t xml:space="preserve">The methodology is evidence-based in two respects. First, every indicator is taken from an official statistical framework or an institutional dataset produced under a published methodology: the ISTAT framework for Equitable and Sustainable Well-being (BES), the UN SDG global indicator framework as implemented by ISTAT, Eurostat, the OECD, the European Commission Joint Research Centre, ISPRA, the Italian Civil Protection Department (seismic classification and volcano register), the World Bank ThinkHazard! platform, WWF, Global Nature Watch / Global Forest Watch, OpenCoesione and the European Quality of Government Index of the University of Gothenburg. Second, the composite-indicator construction (min-max normalisation, equal-weight arithmetic aggregation, coverage thresholds) follows the OECD/JRC Handbook on Constructing Composite Indicators (2008).</w:t>
      </w:r>
    </w:p>
    <w:p>
      <w:pPr>
        <w:spacing w:after="100" w:line="276"/>
      </w:pPr>
      <w:r>
        <w:rPr>
          <w:sz w:val="20"/>
          <w:szCs w:val="20"/>
        </w:rPr>
        <w:t xml:space="preserve">Process for identifying the evidence: a candidate indicator is admitted only if (i) it is published by an official or institutional source with a documented methodology, (ii) it is available for at least 15 of the 20 regions, (iii) its direction of risk (polarity) is recorded in the signed polarity register with a written rationale (section 5.3) — an indicator without an entry cannot be scored, and (iv) it is not statistically redundant with an indicator already in the Index. Redundancy is tested with the Pearson correlation of raw values across the 20 regions at two levels: a new external candidate with |r| above 0.8 against an existing indicator is rejected before integration; and, within the admitted set, any pair with |r| ≥ 0.99 is treated as one variable published twice, of which exactly one member is kept under a documented decision (6 indicators removed in the current vintage, Annex B.3), while pairs with 0.95 ≤ |r| &lt; 0.99 are kept and listed for review because they measure distinct concepts that co-move across regions (27 pairs). Rejected candidates and the reasons are kept in the data-source register (Annex B).</w:t>
      </w:r>
    </w:p>
    <w:p>
      <w:pPr>
        <w:pStyle w:val="Heading2"/>
        <w:spacing w:after="120" w:before="280"/>
      </w:pPr>
      <w:r>
        <w:t xml:space="preserve">3.5 Key assumptions (RTS Article 4(1)(e))</w:t>
      </w:r>
    </w:p>
    <w:p>
      <w:pPr>
        <w:pStyle w:val="ListParagraph"/>
        <w:numPr>
          <w:ilvl w:val="0"/>
          <w:numId w:val="1"/>
        </w:numPr>
        <w:spacing w:after="60" w:line="276"/>
      </w:pPr>
      <w:r>
        <w:rPr>
          <w:sz w:val="20"/>
          <w:szCs w:val="20"/>
        </w:rPr>
        <w:t xml:space="preserve">Linearity: the distance between regions on a raw indicator translates proportionally into score differences (min-max normalisation).</w:t>
      </w:r>
    </w:p>
    <w:p>
      <w:pPr>
        <w:pStyle w:val="ListParagraph"/>
        <w:numPr>
          <w:ilvl w:val="0"/>
          <w:numId w:val="1"/>
        </w:numPr>
        <w:spacing w:after="60" w:line="276"/>
      </w:pPr>
      <w:r>
        <w:rPr>
          <w:sz w:val="20"/>
          <w:szCs w:val="20"/>
        </w:rPr>
        <w:t xml:space="preserve">Compensability: a poor result on one indicator can be offset by a good result on another indicator of the same group, and likewise across groups and factors (arithmetic means).</w:t>
      </w:r>
    </w:p>
    <w:p>
      <w:pPr>
        <w:pStyle w:val="ListParagraph"/>
        <w:numPr>
          <w:ilvl w:val="0"/>
          <w:numId w:val="1"/>
        </w:numPr>
        <w:spacing w:after="60" w:line="276"/>
      </w:pPr>
      <w:r>
        <w:rPr>
          <w:sz w:val="20"/>
          <w:szCs w:val="20"/>
        </w:rPr>
        <w:t xml:space="preserve">Equal weights at every level of aggregation (indicator, group, factor).</w:t>
      </w:r>
    </w:p>
    <w:p>
      <w:pPr>
        <w:pStyle w:val="ListParagraph"/>
        <w:numPr>
          <w:ilvl w:val="0"/>
          <w:numId w:val="1"/>
        </w:numPr>
        <w:spacing w:after="60" w:line="276"/>
      </w:pPr>
      <w:r>
        <w:rPr>
          <w:sz w:val="20"/>
          <w:szCs w:val="20"/>
        </w:rPr>
        <w:t xml:space="preserve">Polarity: the direction of every indicator is fixed by a signed entry in the polarity register, with a written rationale and two reviewer slots; indicators whose direction is contested are excluded with the rationale recorded, and entries applied as owner decisions are disclosed until confirmed (section 5.3, Annex B.5–B.7).</w:t>
      </w:r>
    </w:p>
    <w:p>
      <w:pPr>
        <w:pStyle w:val="ListParagraph"/>
        <w:numPr>
          <w:ilvl w:val="0"/>
          <w:numId w:val="1"/>
        </w:numPr>
        <w:spacing w:after="60" w:line="276"/>
      </w:pPr>
      <w:r>
        <w:rPr>
          <w:sz w:val="20"/>
          <w:szCs w:val="20"/>
        </w:rPr>
        <w:t xml:space="preserve">Intensity: absolute totals (tonnes, hectares, counts) are divided by resident population or regional surface before scoring, so that the size of a region does not drive its score (Annex B.8).</w:t>
      </w:r>
    </w:p>
    <w:p>
      <w:pPr>
        <w:pStyle w:val="ListParagraph"/>
        <w:numPr>
          <w:ilvl w:val="0"/>
          <w:numId w:val="1"/>
        </w:numPr>
        <w:spacing w:after="60" w:line="276"/>
      </w:pPr>
      <w:r>
        <w:rPr>
          <w:sz w:val="20"/>
          <w:szCs w:val="20"/>
        </w:rPr>
        <w:t xml:space="preserve">Temporal alignment: the latest available year of each indicator is used, even when reference years differ between indicators; indicators older than the stale threshold are flagged, not dropped (section 6.1).</w:t>
      </w:r>
    </w:p>
    <w:p>
      <w:pPr>
        <w:pStyle w:val="ListParagraph"/>
        <w:numPr>
          <w:ilvl w:val="0"/>
          <w:numId w:val="1"/>
        </w:numPr>
        <w:spacing w:after="60" w:line="276"/>
      </w:pPr>
      <w:r>
        <w:rPr>
          <w:sz w:val="20"/>
          <w:szCs w:val="20"/>
        </w:rPr>
        <w:t xml:space="preserve">No imputation: a region without data on an indicator is simply absent from the average for that indicator (section 4.4).</w:t>
      </w:r>
    </w:p>
    <w:p>
      <w:pPr>
        <w:pStyle w:val="Heading1"/>
        <w:spacing w:after="160" w:before="360"/>
      </w:pPr>
      <w:r>
        <w:t xml:space="preserve">4. Data sources and data processes (Annex III, point 1(c); RTS Article 4(3); Annex III point 2(b))</w:t>
      </w:r>
    </w:p>
    <w:p>
      <w:pPr>
        <w:pStyle w:val="Heading2"/>
        <w:spacing w:after="120" w:before="280"/>
      </w:pPr>
      <w:r>
        <w:t xml:space="preserve">4.1 Overview of data sources (RTS Article 4(3)(a); Annex III point 2(b)(i))</w:t>
      </w:r>
    </w:p>
    <w:p>
      <w:pPr>
        <w:spacing w:after="100" w:line="276"/>
      </w:pPr>
      <w:r>
        <w:rPr>
          <w:sz w:val="20"/>
          <w:szCs w:val="20"/>
        </w:rPr>
        <w:t xml:space="preserve">All 278 indicators come from 35 public sources. No non-public data, no data supplied by rated items and no purchased proprietary datasets are used. The data are official or institutional statistics; none of them are assured by an external auditor in the sense of the Accounting Directive, but each source applies its own published quality framework (for example the European Statistics Code of Practice for ISTAT and Eurostat data).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4"/>
        <w:gridCol w:w="5590"/>
        <w:gridCol w:w="964"/>
        <w:gridCol w:w="1157"/>
        <w:gridCol w:w="964"/>
      </w:tblGrid>
      <w:tr>
        <w:trPr>
          <w:cantSplit/>
          <w:tblHeader/>
        </w:trPr>
        <w:tc>
          <w:tcPr>
            <w:tcW w:type="dxa" w:w="964"/>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Id</w:t>
            </w:r>
          </w:p>
        </w:tc>
        <w:tc>
          <w:tcPr>
            <w:tcW w:type="dxa" w:w="5590"/>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Source</w:t>
            </w:r>
          </w:p>
        </w:tc>
        <w:tc>
          <w:tcPr>
            <w:tcW w:type="dxa" w:w="964"/>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Access</w:t>
            </w:r>
          </w:p>
        </w:tc>
        <w:tc>
          <w:tcPr>
            <w:tcW w:type="dxa" w:w="1157"/>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Indicators scored</w:t>
            </w:r>
          </w:p>
        </w:tc>
        <w:tc>
          <w:tcPr>
            <w:tcW w:type="dxa" w:w="964"/>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Excluded</w:t>
            </w:r>
          </w:p>
        </w:tc>
      </w:tr>
      <w:tr>
        <w:trPr>
          <w:cantSplit/>
        </w:trPr>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w:t>
            </w:r>
          </w:p>
        </w:tc>
        <w:tc>
          <w:tcPr>
            <w:tcW w:type="dxa" w:w="559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b/>
                <w:bCs/>
                <w:sz w:val="17"/>
                <w:szCs w:val="17"/>
              </w:rPr>
              <w:t xml:space="preserve">ISTAT BES — Benessere Equo e Sostenibile</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Public</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136</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9</w:t>
            </w:r>
          </w:p>
        </w:tc>
      </w:tr>
      <w:tr>
        <w:trPr>
          <w:cantSplit/>
        </w:trPr>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w:t>
            </w:r>
          </w:p>
        </w:tc>
        <w:tc>
          <w:tcPr>
            <w:tcW w:type="dxa" w:w="559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b/>
                <w:bCs/>
                <w:sz w:val="17"/>
                <w:szCs w:val="17"/>
              </w:rPr>
              <w:t xml:space="preserve">ISTAT SDGs — Misure statistiche 2004-2026</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Public</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89</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45</w:t>
            </w:r>
          </w:p>
        </w:tc>
      </w:tr>
      <w:tr>
        <w:trPr>
          <w:cantSplit/>
        </w:trPr>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DPC</w:t>
            </w:r>
          </w:p>
        </w:tc>
        <w:tc>
          <w:tcPr>
            <w:tcW w:type="dxa" w:w="559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b/>
                <w:bCs/>
                <w:sz w:val="17"/>
                <w:szCs w:val="17"/>
              </w:rPr>
              <w:t xml:space="preserve">Dipartimento della Protezione Civile — Seismic classification of municipalities (share of residents in zones 1-2, joined to ISTAT municipal population) and volcanic hazard register</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Public</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0</w:t>
            </w:r>
          </w:p>
        </w:tc>
      </w:tr>
      <w:tr>
        <w:trPr>
          <w:cantSplit/>
        </w:trPr>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TH</w:t>
            </w:r>
          </w:p>
        </w:tc>
        <w:tc>
          <w:tcPr>
            <w:tcW w:type="dxa" w:w="559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b/>
                <w:bCs/>
                <w:sz w:val="17"/>
                <w:szCs w:val="17"/>
              </w:rPr>
              <w:t xml:space="preserve">ThinkHazard! — Coastal flood and tsunami hazard classes (GFDRR / World Bank); earthquake, wildfire, extreme heat, water scarcity and volcano classes retired in v1.1 (non-discriminating or wrong at regional level)</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Public</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5</w:t>
            </w:r>
          </w:p>
        </w:tc>
      </w:tr>
      <w:tr>
        <w:trPr>
          <w:cantSplit/>
        </w:trPr>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EQI</w:t>
            </w:r>
          </w:p>
        </w:tc>
        <w:tc>
          <w:tcPr>
            <w:tcW w:type="dxa" w:w="559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b/>
                <w:bCs/>
                <w:sz w:val="17"/>
                <w:szCs w:val="17"/>
              </w:rPr>
              <w:t xml:space="preserve">European Quality of Government Index (University of Gothenburg)</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Public</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0</w:t>
            </w:r>
          </w:p>
        </w:tc>
      </w:tr>
      <w:tr>
        <w:trPr>
          <w:cantSplit/>
        </w:trPr>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EUROSTAT</w:t>
            </w:r>
          </w:p>
        </w:tc>
        <w:tc>
          <w:tcPr>
            <w:tcW w:type="dxa" w:w="559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b/>
                <w:bCs/>
                <w:sz w:val="17"/>
                <w:szCs w:val="17"/>
              </w:rPr>
              <w:t xml:space="preserve">Eurostat — Regional demography, business statistics and LUCAS land cover (cooling degree days, old-age dependency, carbon-intensive employment, woodland cover); GDP per capita in PPS is fetched only for the collinearity diagnostic of the methodology and, with the investment rate, is not scored</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Public</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5</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w:t>
            </w:r>
          </w:p>
        </w:tc>
      </w:tr>
      <w:tr>
        <w:trPr>
          <w:cantSplit/>
        </w:trPr>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JRC</w:t>
            </w:r>
          </w:p>
        </w:tc>
        <w:tc>
          <w:tcPr>
            <w:tcW w:type="dxa" w:w="559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b/>
                <w:bCs/>
                <w:sz w:val="17"/>
                <w:szCs w:val="17"/>
              </w:rPr>
              <w:t xml:space="preserve">JRC ESDAC — Soil erosion by water (RUSLE2015 model)</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Public</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0</w:t>
            </w:r>
          </w:p>
        </w:tc>
      </w:tr>
      <w:tr>
        <w:trPr>
          <w:cantSplit/>
        </w:trPr>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WWF</w:t>
            </w:r>
          </w:p>
        </w:tc>
        <w:tc>
          <w:tcPr>
            <w:tcW w:type="dxa" w:w="559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b/>
                <w:bCs/>
                <w:sz w:val="17"/>
                <w:szCs w:val="17"/>
              </w:rPr>
              <w:t xml:space="preserve">WWF Biodiversity Risk Filter 2026 — sub-national biodiversity pressure and condition (ecosystem condition, pollination, land-use change); the three 'exposure' indicators (KBAs, Ramsar sites, range rarity) were retired in v1.1 because they encode corporate location risk, which for a territory is natural wealth already read through protected areas</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Public</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3</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55</w:t>
            </w:r>
          </w:p>
        </w:tc>
      </w:tr>
      <w:tr>
        <w:trPr>
          <w:cantSplit/>
        </w:trPr>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GNW</w:t>
            </w:r>
          </w:p>
        </w:tc>
        <w:tc>
          <w:tcPr>
            <w:tcW w:type="dxa" w:w="559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b/>
                <w:bCs/>
                <w:sz w:val="17"/>
                <w:szCs w:val="17"/>
              </w:rPr>
              <w:t xml:space="preserve">Global Nature Watch (WRI) — forest dynamics at GADM adm1 level (recent tree-cover loss rate, forest carbon sink intensity)</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Public</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9</w:t>
            </w:r>
          </w:p>
        </w:tc>
      </w:tr>
      <w:tr>
        <w:trPr>
          <w:cantSplit/>
        </w:trPr>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ISPRA</w:t>
            </w:r>
          </w:p>
        </w:tc>
        <w:tc>
          <w:tcPr>
            <w:tcW w:type="dxa" w:w="559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b/>
                <w:bCs/>
                <w:sz w:val="17"/>
                <w:szCs w:val="17"/>
              </w:rPr>
              <w:t xml:space="preserve">ISPRA IdroGEO — Hydrogeological hazard (territory shares)</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Public</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0</w:t>
            </w:r>
          </w:p>
        </w:tc>
      </w:tr>
      <w:tr>
        <w:trPr>
          <w:cantSplit/>
        </w:trPr>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OECD</w:t>
            </w:r>
          </w:p>
        </w:tc>
        <w:tc>
          <w:tcPr>
            <w:tcW w:type="dxa" w:w="559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b/>
                <w:bCs/>
                <w:sz w:val="17"/>
                <w:szCs w:val="17"/>
              </w:rPr>
              <w:t xml:space="preserve">OECD Regional Environment &amp; Climate — GHG emissions per capita and carbon intensity of GDP (EDGAR-derived); both fetched and retired in v1.2 by owner decision of 28 Sep 2026 in favour of the ISPRA national inventory (see the polarity register)</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Public</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0</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w:t>
            </w:r>
          </w:p>
        </w:tc>
      </w:tr>
      <w:tr>
        <w:trPr>
          <w:cantSplit/>
        </w:trPr>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OC</w:t>
            </w:r>
          </w:p>
        </w:tc>
        <w:tc>
          <w:tcPr>
            <w:tcW w:type="dxa" w:w="559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b/>
                <w:bCs/>
                <w:sz w:val="17"/>
                <w:szCs w:val="17"/>
              </w:rPr>
              <w:t xml:space="preserve">OpenCoesione — Cohesion policy implementation (2014-2020 cycle absorption and completion)</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Public</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0</w:t>
            </w:r>
          </w:p>
        </w:tc>
      </w:tr>
      <w:tr>
        <w:trPr>
          <w:cantSplit/>
        </w:trPr>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BDI</w:t>
            </w:r>
          </w:p>
        </w:tc>
        <w:tc>
          <w:tcPr>
            <w:tcW w:type="dxa" w:w="559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b/>
                <w:bCs/>
                <w:sz w:val="17"/>
                <w:szCs w:val="17"/>
              </w:rPr>
              <w:t xml:space="preserve">Banca d'Italia BDS — Local government debt by region (unconsolidated gross Maastricht debt of regions, provinces, municipalities and local health entities, scored per inhabitant, v1.2); the loan default rate by borrower region is fetched but no longer scored from v1.1 (economic outcome, not a governance quality)</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Public</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w:t>
            </w:r>
          </w:p>
        </w:tc>
      </w:tr>
      <w:tr>
        <w:trPr>
          <w:cantSplit/>
        </w:trPr>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RGS</w:t>
            </w:r>
          </w:p>
        </w:tc>
        <w:tc>
          <w:tcPr>
            <w:tcW w:type="dxa" w:w="559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b/>
                <w:bCs/>
                <w:sz w:val="17"/>
                <w:szCs w:val="17"/>
              </w:rPr>
              <w:t xml:space="preserve">MEF Ragioneria Generale dello Stato — Piattaforma dei Crediti Commerciali: weighted average payment delay to suppliers of the regional administration and its local health entities (v1.2)</w:t>
            </w:r>
            <w:r>
              <w:rPr>
                <w:sz w:val="17"/>
                <w:szCs w:val="17"/>
              </w:rPr>
              <w:t xml:space="preserve"> — </w:t>
            </w:r>
            <w:hyperlink w:history="1" r:id="rId2fpy0lvh7vezferrupr3s">
              <w:r>
                <w:rPr>
                  <w:rStyle w:val="Hyperlink"/>
                  <w:sz w:val="17"/>
                  <w:szCs w:val="17"/>
                </w:rPr>
                <w:t xml:space="preserve">https://www.rgs.mef.gov.it/VERSIONE-I/tempi_di_pagamento_e_debiti_commerciali_delle_pubbliche_amministrazioni/monitoraggio/dati_per_singola_amministrazione/</w:t>
              </w:r>
            </w:hyperlink>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Public</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0</w:t>
            </w:r>
          </w:p>
        </w:tc>
      </w:tr>
      <w:tr>
        <w:trPr>
          <w:cantSplit/>
        </w:trPr>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EC</w:t>
            </w:r>
          </w:p>
        </w:tc>
        <w:tc>
          <w:tcPr>
            <w:tcW w:type="dxa" w:w="559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b/>
                <w:bCs/>
                <w:sz w:val="17"/>
                <w:szCs w:val="17"/>
              </w:rPr>
              <w:t xml:space="preserve">European Commission Cohesion Open Data — 2021-2027 regional ERDF and ESF+ programmes: interim payments received as a share of the planned EU amount (v1.2)</w:t>
            </w:r>
            <w:r>
              <w:rPr>
                <w:sz w:val="17"/>
                <w:szCs w:val="17"/>
              </w:rPr>
              <w:t xml:space="preserve"> — </w:t>
            </w:r>
            <w:hyperlink w:history="1" r:id="rIdag-z4myspizzmv5bqhmko">
              <w:r>
                <w:rPr>
                  <w:rStyle w:val="Hyperlink"/>
                  <w:sz w:val="17"/>
                  <w:szCs w:val="17"/>
                </w:rPr>
                <w:t xml:space="preserve">https://cohesiondata.ec.europa.eu/2021-2027-Finances/2021-2027-EU-payment-details-timeseries-/pbbz-hmfu</w:t>
              </w:r>
            </w:hyperlink>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Public</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0</w:t>
            </w:r>
          </w:p>
        </w:tc>
      </w:tr>
      <w:tr>
        <w:trPr>
          <w:cantSplit/>
        </w:trPr>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PNRR</w:t>
            </w:r>
          </w:p>
        </w:tc>
        <w:tc>
          <w:tcPr>
            <w:tcW w:type="dxa" w:w="559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b/>
                <w:bCs/>
                <w:sz w:val="17"/>
                <w:szCs w:val="17"/>
              </w:rPr>
              <w:t xml:space="preserve">Italia Domani / ReGiS via the OpenPNRR API — payments made on the PNRR projects located in the region as a share of their financing (v1.2)</w:t>
            </w:r>
            <w:r>
              <w:rPr>
                <w:sz w:val="17"/>
                <w:szCs w:val="17"/>
              </w:rPr>
              <w:t xml:space="preserve"> — </w:t>
            </w:r>
            <w:hyperlink w:history="1" r:id="rIdoo0d3wixmag359vjy2yzl">
              <w:r>
                <w:rPr>
                  <w:rStyle w:val="Hyperlink"/>
                  <w:sz w:val="17"/>
                  <w:szCs w:val="17"/>
                </w:rPr>
                <w:t xml:space="preserve">https://openpnrr.it/api/v1/territori</w:t>
              </w:r>
            </w:hyperlink>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Public</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0</w:t>
            </w:r>
          </w:p>
        </w:tc>
      </w:tr>
      <w:tr>
        <w:trPr>
          <w:cantSplit/>
        </w:trPr>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MDS</w:t>
            </w:r>
          </w:p>
        </w:tc>
        <w:tc>
          <w:tcPr>
            <w:tcW w:type="dxa" w:w="559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b/>
                <w:bCs/>
                <w:sz w:val="17"/>
                <w:szCs w:val="17"/>
              </w:rPr>
              <w:t xml:space="preserve">Ministero della Salute — Nuovo Sistema di Garanzia (LEA) CORE scores by macro-area (Relazione 2023) and the health deficit recovery-plan regime (piani di rientro, commissariamento) (v1.2)</w:t>
            </w:r>
            <w:r>
              <w:rPr>
                <w:sz w:val="17"/>
                <w:szCs w:val="17"/>
              </w:rPr>
              <w:t xml:space="preserve"> — </w:t>
            </w:r>
            <w:hyperlink w:history="1" r:id="rIdtsvxjpjn3lvrd1xummgcd">
              <w:r>
                <w:rPr>
                  <w:rStyle w:val="Hyperlink"/>
                  <w:sz w:val="17"/>
                  <w:szCs w:val="17"/>
                </w:rPr>
                <w:t xml:space="preserve">https://www.salute.gov.it/new/it/tema/piani-di-rientro/</w:t>
              </w:r>
            </w:hyperlink>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Public</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0</w:t>
            </w:r>
          </w:p>
        </w:tc>
      </w:tr>
      <w:tr>
        <w:trPr>
          <w:cantSplit/>
        </w:trPr>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MI</w:t>
            </w:r>
          </w:p>
        </w:tc>
        <w:tc>
          <w:tcPr>
            <w:tcW w:type="dxa" w:w="559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b/>
                <w:bCs/>
                <w:sz w:val="17"/>
                <w:szCs w:val="17"/>
              </w:rPr>
              <w:t xml:space="preserve">Ministero dell'Interno dissolution decrees (art. 143 TUEL) via the open WikiMafia register — municipal councils dissolved for mafia infiltration since 2016 per 100 municipalities; scored in Politica e istituzioni by owner decision of 28 Sep 2026 despite the duplicate screen (see the polarity register)</w:t>
            </w:r>
            <w:r>
              <w:rPr>
                <w:sz w:val="17"/>
                <w:szCs w:val="17"/>
              </w:rPr>
              <w:t xml:space="preserve"> — </w:t>
            </w:r>
            <w:hyperlink w:history="1" r:id="rIdzfq2gljfxs3wnkvyagnso">
              <w:r>
                <w:rPr>
                  <w:rStyle w:val="Hyperlink"/>
                  <w:sz w:val="17"/>
                  <w:szCs w:val="17"/>
                </w:rPr>
                <w:t xml:space="preserve">https://www.wikimafia.it/wiki/Comuni_sciolti_per_mafia</w:t>
              </w:r>
            </w:hyperlink>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Public</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0</w:t>
            </w:r>
          </w:p>
        </w:tc>
      </w:tr>
      <w:tr>
        <w:trPr>
          <w:cantSplit/>
        </w:trPr>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AIR</w:t>
            </w:r>
          </w:p>
        </w:tc>
        <w:tc>
          <w:tcPr>
            <w:tcW w:type="dxa" w:w="559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b/>
                <w:bCs/>
                <w:sz w:val="17"/>
                <w:szCs w:val="17"/>
              </w:rPr>
              <w:t xml:space="preserve">ISPRA air-quality measurements published by ISTAT as SDG 11.6.2 for the 109 provincial capitals — PM10 days above the daily limit, NO2 annual mean and ozone days above the long-term objective, aggregated to regions as the mean of the capitals weighted by the population of the province each capital represents (v1.2); the PM10 and PM2.5 annual means were fetched, screened and not scored (see the polarity register)</w:t>
            </w:r>
            <w:r>
              <w:rPr>
                <w:sz w:val="17"/>
                <w:szCs w:val="17"/>
              </w:rPr>
              <w:t xml:space="preserve"> — </w:t>
            </w:r>
            <w:hyperlink w:history="1" r:id="rIddpazhsoodnjacttksctei">
              <w:r>
                <w:rPr>
                  <w:rStyle w:val="Hyperlink"/>
                  <w:sz w:val="17"/>
                  <w:szCs w:val="17"/>
                </w:rPr>
                <w:t xml:space="preserve">https://www.istat.it/statistiche-per-temi/focus/benessere-e-sostenibilita/obiettivi-di-sviluppo-sostenibile/</w:t>
              </w:r>
            </w:hyperlink>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Public</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3</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w:t>
            </w:r>
          </w:p>
        </w:tc>
      </w:tr>
      <w:tr>
        <w:trPr>
          <w:cantSplit/>
        </w:trPr>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RIR</w:t>
            </w:r>
          </w:p>
        </w:tc>
        <w:tc>
          <w:tcPr>
            <w:tcW w:type="dxa" w:w="559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b/>
                <w:bCs/>
                <w:sz w:val="17"/>
                <w:szCs w:val="17"/>
              </w:rPr>
              <w:t xml:space="preserve">ISPRA-MASE inventory of establishments at risk of major accidents (Seveso III, D.Lgs. 105/2015), upper and lower tier, regional counts from the ISPRA environmental indicator — scored per million inhabitants (v1.2); the upper-tier count alone was fetched, screened and not scored (see the polarity register)</w:t>
            </w:r>
            <w:r>
              <w:rPr>
                <w:sz w:val="17"/>
                <w:szCs w:val="17"/>
              </w:rPr>
              <w:t xml:space="preserve"> — </w:t>
            </w:r>
            <w:hyperlink w:history="1" r:id="rIddhz3qvrgv_6os2ym4xxgy">
              <w:r>
                <w:rPr>
                  <w:rStyle w:val="Hyperlink"/>
                  <w:sz w:val="17"/>
                  <w:szCs w:val="17"/>
                </w:rPr>
                <w:t xml:space="preserve">https://indicatoriambientali.isprambiente.it/it/sostanze-o-agenti-chimici/stabilimenti-con-pericolo-di-incidente-rilevante-distribuzione-provinciale-e-regionale</w:t>
              </w:r>
            </w:hyperlink>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Public</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w:t>
            </w:r>
          </w:p>
        </w:tc>
      </w:tr>
      <w:tr>
        <w:trPr>
          <w:cantSplit/>
        </w:trPr>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EMIS</w:t>
            </w:r>
          </w:p>
        </w:tc>
        <w:tc>
          <w:tcPr>
            <w:tcW w:type="dxa" w:w="559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b/>
                <w:bCs/>
                <w:sz w:val="17"/>
                <w:szCs w:val="17"/>
              </w:rPr>
              <w:t xml:space="preserve">ISPRA national emission inventory, provincial disaggregation 2023 (revised June 2026) — anthropogenic SOx per km², NOx and primary PM2.5 per inhabitant, and greenhouse gases (CO2, CH4 and N2O at AR5 GWP100) per inhabitant and per million EUR of GDP, which replace the OECD regional series by owner decision of 28 Sep 2026 (v1.2); NMVOC, PM10 and CO per inhabitant were fetched, screened and not scored</w:t>
            </w:r>
            <w:r>
              <w:rPr>
                <w:sz w:val="17"/>
                <w:szCs w:val="17"/>
              </w:rPr>
              <w:t xml:space="preserve"> — </w:t>
            </w:r>
            <w:hyperlink w:history="1" r:id="rIdq-jnoat6iqn9toqt5a959">
              <w:r>
                <w:rPr>
                  <w:rStyle w:val="Hyperlink"/>
                  <w:sz w:val="17"/>
                  <w:szCs w:val="17"/>
                </w:rPr>
                <w:t xml:space="preserve">https://emissioni.sina.isprambiente.it/disaggregazione-provinciale/</w:t>
              </w:r>
            </w:hyperlink>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Public</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3</w:t>
            </w:r>
          </w:p>
        </w:tc>
      </w:tr>
      <w:tr>
        <w:trPr>
          <w:cantSplit/>
        </w:trPr>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GW</w:t>
            </w:r>
          </w:p>
        </w:tc>
        <w:tc>
          <w:tcPr>
            <w:tcW w:type="dxa" w:w="559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b/>
                <w:bCs/>
                <w:sz w:val="17"/>
                <w:szCs w:val="17"/>
              </w:rPr>
              <w:t xml:space="preserve">ISPRA nitrates in groundwater, 2020-2023 (regional environmental agencies' monitoring networks) — share of stations with mean nitrate at or above 50 mg/l (v1.2)</w:t>
            </w:r>
            <w:r>
              <w:rPr>
                <w:sz w:val="17"/>
                <w:szCs w:val="17"/>
              </w:rPr>
              <w:t xml:space="preserve"> — </w:t>
            </w:r>
            <w:hyperlink w:history="1" r:id="rId-esimqpwqop84n7hsnyf3">
              <w:r>
                <w:rPr>
                  <w:rStyle w:val="Hyperlink"/>
                  <w:sz w:val="17"/>
                  <w:szCs w:val="17"/>
                </w:rPr>
                <w:t xml:space="preserve">https://indicatoriambientali.isprambiente.it/it/acque-interne/nitrati-nelle-acque-sotterranee</w:t>
              </w:r>
            </w:hyperlink>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Public</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0</w:t>
            </w:r>
          </w:p>
        </w:tc>
      </w:tr>
      <w:tr>
        <w:trPr>
          <w:cantSplit/>
        </w:trPr>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AVQ</w:t>
            </w:r>
          </w:p>
        </w:tc>
        <w:tc>
          <w:tcPr>
            <w:tcW w:type="dxa" w:w="559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b/>
                <w:bCs/>
                <w:sz w:val="17"/>
                <w:szCs w:val="17"/>
              </w:rPr>
              <w:t xml:space="preserve">ISTAT Aspetti della vita quotidiana 2025 — households reporting noise as very or fairly present in the area where they live; scored in Ambiente by owner decision of 28 Sep 2026 despite the duplicate screen (see the polarity register)</w:t>
            </w:r>
            <w:r>
              <w:rPr>
                <w:sz w:val="17"/>
                <w:szCs w:val="17"/>
              </w:rPr>
              <w:t xml:space="preserve"> — </w:t>
            </w:r>
            <w:hyperlink w:history="1" r:id="rIdyiidci4k12oet9ubjmtdw">
              <w:r>
                <w:rPr>
                  <w:rStyle w:val="Hyperlink"/>
                  <w:sz w:val="17"/>
                  <w:szCs w:val="17"/>
                </w:rPr>
                <w:t xml:space="preserve">https://esploradati.istat.it/SDMXWS/rest/data/82_87_DF_DCCV_AVQ_FAMIGLIE_105/all?startPeriod=2023</w:t>
              </w:r>
            </w:hyperlink>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Public</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0</w:t>
            </w:r>
          </w:p>
        </w:tc>
      </w:tr>
      <w:tr>
        <w:trPr>
          <w:cantSplit/>
        </w:trPr>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UWWTD</w:t>
            </w:r>
          </w:p>
        </w:tc>
        <w:tc>
          <w:tcPr>
            <w:tcW w:type="dxa" w:w="559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b/>
                <w:bCs/>
                <w:sz w:val="17"/>
                <w:szCs w:val="17"/>
              </w:rPr>
              <w:t xml:space="preserve">Urban Waste Water Treatment Directive reporting (situation at 31 Dec 2022) — EEA Waterbase share of the load generated by agglomerations of 2,000 p.e. or more receiving compliant secondary treatment (v1.2, replaces BES 10AMB013; scored by owner decision of 28 Sep 2026 in place of the ISPRA treated-load share from the same report, kept in the file for the audit trail)</w:t>
            </w:r>
            <w:r>
              <w:rPr>
                <w:sz w:val="17"/>
                <w:szCs w:val="17"/>
              </w:rPr>
              <w:t xml:space="preserve"> — </w:t>
            </w:r>
            <w:hyperlink w:history="1" r:id="rIdubkrtzkjlwicteokpuzif">
              <w:r>
                <w:rPr>
                  <w:rStyle w:val="Hyperlink"/>
                  <w:sz w:val="17"/>
                  <w:szCs w:val="17"/>
                </w:rPr>
                <w:t xml:space="preserve">https://sdi.eea.europa.eu/data/52b2e779-a146-414f-bf00-d63dfbf9c4f1</w:t>
              </w:r>
            </w:hyperlink>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Public</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w:t>
            </w:r>
          </w:p>
        </w:tc>
      </w:tr>
      <w:tr>
        <w:trPr>
          <w:cantSplit/>
        </w:trPr>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BWD</w:t>
            </w:r>
          </w:p>
        </w:tc>
        <w:tc>
          <w:tcPr>
            <w:tcW w:type="dxa" w:w="559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b/>
                <w:bCs/>
                <w:sz w:val="17"/>
                <w:szCs w:val="17"/>
              </w:rPr>
              <w:t xml:space="preserve">EEA status of bathing water under Directive 2006/7/EC, 1990-2025 — share of coastal and transitional bathing waters of excellent quality, season 2025 (v1.2 stale-series review; replaces ISTAT SDG-499 and BES 10AMB007)</w:t>
            </w:r>
            <w:r>
              <w:rPr>
                <w:sz w:val="17"/>
                <w:szCs w:val="17"/>
              </w:rPr>
              <w:t xml:space="preserve"> — </w:t>
            </w:r>
            <w:hyperlink w:history="1" r:id="rIdqmrppakmjskyof98iyjkn">
              <w:r>
                <w:rPr>
                  <w:rStyle w:val="Hyperlink"/>
                  <w:sz w:val="17"/>
                  <w:szCs w:val="17"/>
                </w:rPr>
                <w:t xml:space="preserve">https://sdi.eea.europa.eu/datastore/public/eea_t_bathing-water-status_p_1990-2025_v01_r00/</w:t>
              </w:r>
            </w:hyperlink>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Public</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0</w:t>
            </w:r>
          </w:p>
        </w:tc>
      </w:tr>
      <w:tr>
        <w:trPr>
          <w:cantSplit/>
        </w:trPr>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SUOLO</w:t>
            </w:r>
          </w:p>
        </w:tc>
        <w:tc>
          <w:tcPr>
            <w:tcW w:type="dxa" w:w="559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b/>
                <w:bCs/>
                <w:sz w:val="17"/>
                <w:szCs w:val="17"/>
              </w:rPr>
              <w:t xml:space="preserve">ISPRA-SNPA land consumption report, 2025 edition (Consumo di suolo, dinamiche territoriali e servizi ecosistemici) — net land take in 2024: new consumed land net of restorations per hectare of territory (v1.2 missing-indicator review)</w:t>
            </w:r>
            <w:r>
              <w:rPr>
                <w:sz w:val="17"/>
                <w:szCs w:val="17"/>
              </w:rPr>
              <w:t xml:space="preserve"> — </w:t>
            </w:r>
            <w:hyperlink w:history="1" r:id="rIdrnsqnodeda-ucrchbltdv">
              <w:r>
                <w:rPr>
                  <w:rStyle w:val="Hyperlink"/>
                  <w:sz w:val="17"/>
                  <w:szCs w:val="17"/>
                </w:rPr>
                <w:t xml:space="preserve">https://www.isprambiente.gov.it/it/attivita/suolo-e-territorio/suolo/il-consumo-di-suolo</w:t>
              </w:r>
            </w:hyperlink>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Public</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0</w:t>
            </w:r>
          </w:p>
        </w:tc>
      </w:tr>
      <w:tr>
        <w:trPr>
          <w:cantSplit/>
        </w:trPr>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CCKP</w:t>
            </w:r>
          </w:p>
        </w:tc>
        <w:tc>
          <w:tcPr>
            <w:tcW w:type="dxa" w:w="559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b/>
                <w:bCs/>
                <w:sz w:val="17"/>
                <w:szCs w:val="17"/>
              </w:rPr>
              <w:t xml:space="preserve">World Bank Climate Change Knowledge Portal, CMIP6 0.25° bias-adjusted collection — projected change between 1995-2014 and 2040-2059 under SSP5-8.5 (ensemble median, regional means) in days above 35 °C, the 12-month SPEI drought index and the wettest day of the year; the only forward-looking indicators of the rating (v1.2 missing-indicator review)</w:t>
            </w:r>
            <w:r>
              <w:rPr>
                <w:sz w:val="17"/>
                <w:szCs w:val="17"/>
              </w:rPr>
              <w:t xml:space="preserve"> — </w:t>
            </w:r>
            <w:hyperlink w:history="1" r:id="rIdfcvphw2t6okchyotbw4ks">
              <w:r>
                <w:rPr>
                  <w:rStyle w:val="Hyperlink"/>
                  <w:sz w:val="17"/>
                  <w:szCs w:val="17"/>
                </w:rPr>
                <w:t xml:space="preserve">https://climateknowledgeportal.worldbank.org/</w:t>
              </w:r>
            </w:hyperlink>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Public</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3</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0</w:t>
            </w:r>
          </w:p>
        </w:tc>
      </w:tr>
      <w:tr>
        <w:trPr>
          <w:cantSplit/>
        </w:trPr>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SIAPE</w:t>
            </w:r>
          </w:p>
        </w:tc>
        <w:tc>
          <w:tcPr>
            <w:tcW w:type="dxa" w:w="559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b/>
                <w:bCs/>
                <w:sz w:val="17"/>
                <w:szCs w:val="17"/>
              </w:rPr>
              <w:t xml:space="preserve">ENEA SIAPE, national register of energy performance certificates — residential certificates issued in 2025 for a sale or a rental, read as the mean class over all ten classes (G = 1 to A4 = 10) (v1.2 missing-indicator review)</w:t>
            </w:r>
            <w:r>
              <w:rPr>
                <w:sz w:val="17"/>
                <w:szCs w:val="17"/>
              </w:rPr>
              <w:t xml:space="preserve"> — </w:t>
            </w:r>
            <w:hyperlink w:history="1" r:id="rIduss5a6jzxvkxvph2om8pm">
              <w:r>
                <w:rPr>
                  <w:rStyle w:val="Hyperlink"/>
                  <w:sz w:val="17"/>
                  <w:szCs w:val="17"/>
                </w:rPr>
                <w:t xml:space="preserve">https://siape.enea.it/</w:t>
              </w:r>
            </w:hyperlink>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Public</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0</w:t>
            </w:r>
          </w:p>
        </w:tc>
      </w:tr>
      <w:tr>
        <w:trPr>
          <w:cantSplit/>
        </w:trPr>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RADON</w:t>
            </w:r>
          </w:p>
        </w:tc>
        <w:tc>
          <w:tcPr>
            <w:tcW w:type="dxa" w:w="559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b/>
                <w:bCs/>
                <w:sz w:val="17"/>
                <w:szCs w:val="17"/>
              </w:rPr>
              <w:t xml:space="preserve">ISS-ANPA national survey of natural radioactivity in dwellings, 1989-1998 — mean indoor radon concentration by region as tabulated in the national radon action plan 2023-2032 (PNAR); flagged as stale (v1.2 missing-indicator review)</w:t>
            </w:r>
            <w:r>
              <w:rPr>
                <w:sz w:val="17"/>
                <w:szCs w:val="17"/>
              </w:rPr>
              <w:t xml:space="preserve"> — </w:t>
            </w:r>
            <w:hyperlink w:history="1" r:id="rId74b-zy0te_h8odvi3e6mu">
              <w:r>
                <w:rPr>
                  <w:rStyle w:val="Hyperlink"/>
                  <w:sz w:val="17"/>
                  <w:szCs w:val="17"/>
                </w:rPr>
                <w:t xml:space="preserve">https://www.iss.it/radon</w:t>
              </w:r>
            </w:hyperlink>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Public</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0</w:t>
            </w:r>
          </w:p>
        </w:tc>
      </w:tr>
      <w:tr>
        <w:trPr>
          <w:cantSplit/>
        </w:trPr>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PNE</w:t>
            </w:r>
          </w:p>
        </w:tc>
        <w:tc>
          <w:tcPr>
            <w:tcW w:type="dxa" w:w="559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b/>
                <w:bCs/>
                <w:sz w:val="17"/>
                <w:szCs w:val="17"/>
              </w:rPr>
              <w:t xml:space="preserve">AGENAS, Programma Nazionale Esiti (PNE), edizione 2025 (hospital discharges of 2024) — hip fracture at 65+ operated within 48 hours (indicator 640, risk-adjusted, by region of residence) and 30-day mortality after acute myocardial infarction (indicator 620, risk-adjusted, case-weighted mean of the region's hospitals) (v1.2 social-candidate review)</w:t>
            </w:r>
            <w:r>
              <w:rPr>
                <w:sz w:val="17"/>
                <w:szCs w:val="17"/>
              </w:rPr>
              <w:t xml:space="preserve"> — </w:t>
            </w:r>
            <w:hyperlink w:history="1" r:id="rIdjgp0wjavfa_8mc9m1_p2n">
              <w:r>
                <w:rPr>
                  <w:rStyle w:val="Hyperlink"/>
                  <w:sz w:val="17"/>
                  <w:szCs w:val="17"/>
                </w:rPr>
                <w:t xml:space="preserve">https://pne.agenas.it/</w:t>
              </w:r>
            </w:hyperlink>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Public</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0</w:t>
            </w:r>
          </w:p>
        </w:tc>
      </w:tr>
      <w:tr>
        <w:trPr>
          <w:cantSplit/>
        </w:trPr>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SFRATTI</w:t>
            </w:r>
          </w:p>
        </w:tc>
        <w:tc>
          <w:tcPr>
            <w:tcW w:type="dxa" w:w="559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b/>
                <w:bCs/>
                <w:sz w:val="17"/>
                <w:szCs w:val="17"/>
              </w:rPr>
              <w:t xml:space="preserve">Ministero dell'Interno, Ufficio Centrale di Statistica — Procedure di rilascio di immobili ad uso abitativo, data 2023: eviction orders issued per 1,000 private households (households from Eurostat lfst_r_lfsd2hh); Calabria withheld for missing provincial returns (v1.2 social-candidate review)</w:t>
            </w:r>
            <w:r>
              <w:rPr>
                <w:sz w:val="17"/>
                <w:szCs w:val="17"/>
              </w:rPr>
              <w:t xml:space="preserve"> — </w:t>
            </w:r>
            <w:hyperlink w:history="1" r:id="rIdj1sfscwxumiwrwuqhbotw">
              <w:r>
                <w:rPr>
                  <w:rStyle w:val="Hyperlink"/>
                  <w:sz w:val="17"/>
                  <w:szCs w:val="17"/>
                </w:rPr>
                <w:t xml:space="preserve">https://ucs.interno.gov.it/</w:t>
              </w:r>
            </w:hyperlink>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Public</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0</w:t>
            </w:r>
          </w:p>
        </w:tc>
      </w:tr>
      <w:tr>
        <w:trPr>
          <w:cantSplit/>
        </w:trPr>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OIPE</w:t>
            </w:r>
          </w:p>
        </w:tc>
        <w:tc>
          <w:tcPr>
            <w:tcW w:type="dxa" w:w="559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b/>
                <w:bCs/>
                <w:sz w:val="17"/>
                <w:szCs w:val="17"/>
              </w:rPr>
              <w:t xml:space="preserve">OIPE, Osservatorio Italiano sulla Povertà Energetica — La Povertà Energetica in Italia nel 2024 (December 2025): households in energy poverty by region, Faiella-Lavecchia measure of the PNIEC (v1.2 social-candidate review; scored by owner decision)</w:t>
            </w:r>
            <w:r>
              <w:rPr>
                <w:sz w:val="17"/>
                <w:szCs w:val="17"/>
              </w:rPr>
              <w:t xml:space="preserve"> — </w:t>
            </w:r>
            <w:hyperlink w:history="1" r:id="rIdbh2we8v3k_jfkzr2a2bnd">
              <w:r>
                <w:rPr>
                  <w:rStyle w:val="Hyperlink"/>
                  <w:sz w:val="17"/>
                  <w:szCs w:val="17"/>
                </w:rPr>
                <w:t xml:space="preserve">https://oipeosservatorio.it/wp-content/uploads/2025/12/2025_PE_ITA_2024.pdf</w:t>
              </w:r>
            </w:hyperlink>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Public</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0</w:t>
            </w:r>
          </w:p>
        </w:tc>
      </w:tr>
      <w:tr>
        <w:trPr>
          <w:cantSplit/>
        </w:trPr>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SNAI</w:t>
            </w:r>
          </w:p>
        </w:tc>
        <w:tc>
          <w:tcPr>
            <w:tcW w:type="dxa" w:w="559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b/>
                <w:bCs/>
                <w:sz w:val="17"/>
                <w:szCs w:val="17"/>
              </w:rPr>
              <w:t xml:space="preserve">Dipartimento per le politiche di coesione / NUVAP, Strategia Nazionale per le Aree Interne — Mappa delle aree interne 2020: share of residents in intermediate, peripheral and ultra-peripheral municipalities (v1.2 social-candidate review)</w:t>
            </w:r>
            <w:r>
              <w:rPr>
                <w:sz w:val="17"/>
                <w:szCs w:val="17"/>
              </w:rPr>
              <w:t xml:space="preserve"> — </w:t>
            </w:r>
            <w:hyperlink w:history="1" r:id="rIdbmsa6nqg6gipv-vuaj62v">
              <w:r>
                <w:rPr>
                  <w:rStyle w:val="Hyperlink"/>
                  <w:sz w:val="17"/>
                  <w:szCs w:val="17"/>
                </w:rPr>
                <w:t xml:space="preserve">https://politichecoesione.governo.it/media/2824/20220214-mappa-ai-2020-tavole-di-sintesi-per-regione.xlsx</w:t>
              </w:r>
            </w:hyperlink>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Public</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0</w:t>
            </w:r>
          </w:p>
        </w:tc>
      </w:tr>
      <w:tr>
        <w:trPr>
          <w:cantSplit/>
        </w:trPr>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GCOM</w:t>
            </w:r>
          </w:p>
        </w:tc>
        <w:tc>
          <w:tcPr>
            <w:tcW w:type="dxa" w:w="559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b/>
                <w:bCs/>
                <w:sz w:val="17"/>
                <w:szCs w:val="17"/>
              </w:rPr>
              <w:t xml:space="preserve">European Commission, Joint Research Centre — GCoM MyCovenant open data, 6th release (July 2025): residents of municipalities covered by a Covenant of Mayors action plan with a 2030 or 2050 target (PAESC), own or joint, active signatories only (v1.2 governance-candidate review)</w:t>
            </w:r>
            <w:r>
              <w:rPr>
                <w:sz w:val="17"/>
                <w:szCs w:val="17"/>
              </w:rPr>
              <w:t xml:space="preserve"> — </w:t>
            </w:r>
            <w:hyperlink w:history="1" r:id="rIds84gartsplyc7oyzwnmtr">
              <w:r>
                <w:rPr>
                  <w:rStyle w:val="Hyperlink"/>
                  <w:sz w:val="17"/>
                  <w:szCs w:val="17"/>
                </w:rPr>
                <w:t xml:space="preserve">https://jeodpp.jrc.ec.europa.eu/ftp/jrc-opendata/GCOM-MyCovenant/2025_Sixth_release/</w:t>
              </w:r>
            </w:hyperlink>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Public</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0</w:t>
            </w:r>
          </w:p>
        </w:tc>
      </w:tr>
      <w:tr>
        <w:trPr>
          <w:cantSplit/>
        </w:trPr>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ADAPT</w:t>
            </w:r>
          </w:p>
        </w:tc>
        <w:tc>
          <w:tcPr>
            <w:tcW w:type="dxa" w:w="559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b/>
                <w:bCs/>
                <w:sz w:val="17"/>
                <w:szCs w:val="17"/>
              </w:rPr>
              <w:t xml:space="preserve">ISPRA — Strategie e piani di adattamento ai cambiamenti climatici (sheet of 31 Dec 2025, MASE survey of the regions and autonomous provinces): stage of the regional adaptation strategy and plan, fixed scale (v1.2 governance-candidate review)</w:t>
            </w:r>
            <w:r>
              <w:rPr>
                <w:sz w:val="17"/>
                <w:szCs w:val="17"/>
              </w:rPr>
              <w:t xml:space="preserve"> — </w:t>
            </w:r>
            <w:hyperlink w:history="1" r:id="rIdq8makwsqcvpqykzeqtbj4">
              <w:r>
                <w:rPr>
                  <w:rStyle w:val="Hyperlink"/>
                  <w:sz w:val="17"/>
                  <w:szCs w:val="17"/>
                </w:rPr>
                <w:t xml:space="preserve">https://indicatoriambientali.isprambiente.it/it/clima/strategie-e-piani-di-adattamento-ai-cambiamenti-climatici</w:t>
              </w:r>
            </w:hyperlink>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Public</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0</w:t>
            </w:r>
          </w:p>
        </w:tc>
      </w:tr>
    </w:tbl>
    <w:p>
      <w:pPr>
        <w:pStyle w:val="Heading2"/>
        <w:spacing w:after="120" w:before="280"/>
      </w:pPr>
      <w:r>
        <w:t xml:space="preserve">4.2 Data processes (RTS Article 4(3)(b))</w:t>
      </w:r>
    </w:p>
    <w:p>
      <w:pPr>
        <w:pStyle w:val="ListParagraph"/>
        <w:numPr>
          <w:ilvl w:val="0"/>
          <w:numId w:val="1"/>
        </w:numPr>
        <w:spacing w:after="60" w:line="276"/>
      </w:pPr>
      <w:r>
        <w:rPr>
          <w:sz w:val="20"/>
          <w:szCs w:val="20"/>
        </w:rPr>
        <w:t xml:space="preserve">Acquisition: ISTAT BES and SDG regional workbooks are downloaded from istat.it and versioned in the project repository; external sources are fetched through their public APIs or published files by a scripted, repeatable process. Two Ministry of Health inputs are published only as PDF reports and administrative acts (the NSG CORE macro-area scores and the health deficit recovery-plan regime): they are transcribed into versioned files that record the report table and page (NSG) or the act and date (recovery plans) each value was taken from, and are re-checked against the source at each vintage. The regional counts of Seveso III establishments are read from the chart series published on the ISPRA indicator page, because the establishment-level inventory database is not reachable by script; the extraction is versioned with its retrieval date and re-read at each vintage.</w:t>
      </w:r>
    </w:p>
    <w:p>
      <w:pPr>
        <w:pStyle w:val="ListParagraph"/>
        <w:numPr>
          <w:ilvl w:val="0"/>
          <w:numId w:val="1"/>
        </w:numPr>
        <w:spacing w:after="60" w:line="276"/>
      </w:pPr>
      <w:r>
        <w:rPr>
          <w:sz w:val="20"/>
          <w:szCs w:val="20"/>
        </w:rPr>
        <w:t xml:space="preserve">Deduplication between ISTAT frameworks: ISTAT publishes many indicators in both the BES and SDG frameworks under the same indicator code. Each such indicator counts once: the vintage with the most recent data year is kept (tie goes to the SDG file, the more recently curated publication), and the survivor is grouped under its BES domain so the thematic structure stays stable.</w:t>
      </w:r>
    </w:p>
    <w:p>
      <w:pPr>
        <w:pStyle w:val="ListParagraph"/>
        <w:numPr>
          <w:ilvl w:val="0"/>
          <w:numId w:val="1"/>
        </w:numPr>
        <w:spacing w:after="60" w:line="276"/>
      </w:pPr>
      <w:r>
        <w:rPr>
          <w:sz w:val="20"/>
          <w:szCs w:val="20"/>
        </w:rPr>
        <w:t xml:space="preserve">Statistical deduplication: Beyond identical codes, the Pearson correlation of the latest raw values across regions is computed for every pair of admitted indicators. A pair with |r| &gt;= 0.99 is one variable published twice: exactly one member is kept under a documented decision (the fresher vintage; on a tie the BES publication or the primary, non-derived measure) and the other is listed among the exclusions. Pairs with 0.95 &lt;= |r| &lt; 0.99 are kept and listed for review: they measure distinct concepts that co-move across regions. Every pair is also read by name, whatever its r, for the same measure published under two codes (two age bands or recall windows of one survey variable, two tails of one distribution, a threshold version of a published share); such a pair is resolved in the polarity register like a duplicate, one member kept under the same tie-break (duplicate audit of 29 Sep 2026). An undocumented pair above the duplicate threshold fails the build.</w:t>
      </w:r>
    </w:p>
    <w:p>
      <w:pPr>
        <w:pStyle w:val="ListParagraph"/>
        <w:numPr>
          <w:ilvl w:val="0"/>
          <w:numId w:val="1"/>
        </w:numPr>
        <w:spacing w:after="60" w:line="276"/>
      </w:pPr>
      <w:r>
        <w:rPr>
          <w:sz w:val="20"/>
          <w:szCs w:val="20"/>
        </w:rPr>
        <w:t xml:space="preserve">Thematic-group composition: indicators are grouped by ISTAT BES domain or SDG goal, and external indicators either form cross-provider groups or join the BES domain that measures the same theme (Annex B.4); every group must hold at least 2 indicators.</w:t>
      </w:r>
    </w:p>
    <w:p>
      <w:pPr>
        <w:pStyle w:val="ListParagraph"/>
        <w:numPr>
          <w:ilvl w:val="0"/>
          <w:numId w:val="1"/>
        </w:numPr>
        <w:spacing w:after="60" w:line="276"/>
      </w:pPr>
      <w:r>
        <w:rPr>
          <w:sz w:val="20"/>
          <w:szCs w:val="20"/>
        </w:rPr>
        <w:t xml:space="preserve">Territorial harmonisation: ISTAT region names are normalised to a single key; the autonomous provinces of Trento and Bolzano are aggregated to Trentino-Alto Adige/Südtirol as ratio of sums; Eurostat statistically suppressed small cells are treated as zero for minor classes only and never for the variable of interest itself.</w:t>
      </w:r>
    </w:p>
    <w:p>
      <w:pPr>
        <w:pStyle w:val="ListParagraph"/>
        <w:numPr>
          <w:ilvl w:val="0"/>
          <w:numId w:val="1"/>
        </w:numPr>
        <w:spacing w:after="60" w:line="276"/>
      </w:pPr>
      <w:r>
        <w:rPr>
          <w:sz w:val="20"/>
          <w:szCs w:val="20"/>
        </w:rPr>
        <w:t xml:space="preserve">Vintage selection: for each indicator and region the most recent available year is retained; an indicator whose most recent regional value predates the stale threshold is flagged and carries a note on why no newer edition exists (section 6.1).</w:t>
      </w:r>
    </w:p>
    <w:p>
      <w:pPr>
        <w:pStyle w:val="ListParagraph"/>
        <w:numPr>
          <w:ilvl w:val="0"/>
          <w:numId w:val="1"/>
        </w:numPr>
        <w:spacing w:after="60" w:line="276"/>
      </w:pPr>
      <w:r>
        <w:rPr>
          <w:sz w:val="20"/>
          <w:szCs w:val="20"/>
        </w:rPr>
        <w:t xml:space="preserve">Polarity and intensity: every indicator is matched against the signed polarity register (351 entries in version 1.2); absolute totals listed in the register are converted to intensities before normalisation (Annex B.8).</w:t>
      </w:r>
    </w:p>
    <w:p>
      <w:pPr>
        <w:pStyle w:val="ListParagraph"/>
        <w:numPr>
          <w:ilvl w:val="0"/>
          <w:numId w:val="1"/>
        </w:numPr>
        <w:spacing w:after="60" w:line="276"/>
      </w:pPr>
      <w:r>
        <w:rPr>
          <w:sz w:val="20"/>
          <w:szCs w:val="20"/>
        </w:rPr>
        <w:t xml:space="preserve">Scoring: the deterministic pipeline of section 5 is run on the full dataset and produces the published scores, the indicator catalogue and this methodology's machine-readable companion file (methodology.json).</w:t>
      </w:r>
    </w:p>
    <w:p>
      <w:pPr>
        <w:pStyle w:val="Heading2"/>
        <w:spacing w:after="120" w:before="280"/>
      </w:pPr>
      <w:r>
        <w:t xml:space="preserve">4.3 CSRD sustainability statements, SFDR disclosures, Taxonomy data and transition plans (RTS Article 4(3)(c); Annex III point 2(b)(i))</w:t>
      </w:r>
    </w:p>
    <w:p>
      <w:pPr>
        <w:spacing w:after="100" w:line="276"/>
      </w:pPr>
      <w:r>
        <w:rPr>
          <w:sz w:val="20"/>
          <w:szCs w:val="20"/>
        </w:rPr>
        <w:t xml:space="preserve">Not used and not applicable. The rated items are regional public authorities; they do not publish sustainability statements under Directive 2013/34/EU as amended by Directive (EU) 2022/2464 (CSRD), do not make disclosures under Regulation (EU) 2019/2088 (SFDR) and do not report Taxonomy KPIs. Regional climate or energy plans are not used as inputs.</w:t>
      </w:r>
    </w:p>
    <w:p>
      <w:pPr>
        <w:pStyle w:val="Heading2"/>
        <w:spacing w:after="120" w:before="280"/>
      </w:pPr>
      <w:r>
        <w:t xml:space="preserve">4.4 Unavailable data, estimation and industry averages (RTS Article 4(3)(d); Annex III point 2(b)(ii))</w:t>
      </w:r>
    </w:p>
    <w:p>
      <w:pPr>
        <w:spacing w:after="100" w:line="276"/>
      </w:pPr>
      <w:r>
        <w:rPr>
          <w:sz w:val="20"/>
          <w:szCs w:val="20"/>
        </w:rPr>
        <w:t xml:space="preserve">No estimation, imputation or averaging is used to fill gaps. An indicator is included only if at least 15 of the 20 regions have a value; in the current vintage 250 indicators cover all 20 regions and 28 cover between 15 and 19 regions. Where a region has no value for an indicator, the indicator is omitted from that region's group average and the group average is computed over the available indicators. Industry averages do not exist for territories and are not used.</w:t>
      </w:r>
    </w:p>
    <w:p>
      <w:pPr>
        <w:spacing w:after="100" w:line="276"/>
      </w:pPr>
      <w:r>
        <w:rPr>
          <w:sz w:val="20"/>
          <w:szCs w:val="20"/>
        </w:rPr>
        <w:t xml:space="preserve">Normalisation rule as recorded in the machine-readable methodology file: "Absolute totals (ammonia, drinking-water abstraction, Ramsar wetlands, threats against journalists, remittances) are first converted to intensities per inhabitant or per km2 (intensityTransforms); totals that already have a normalised twin in the source are not scored (hazardous waste in tonnes and per unit of GDP, material consumption in tonnes and per unit of GDP, tonnes of separately collected waste, plant counts, road-death counts). The v1.2 environmental counts and totals arrive as intensities computed in fetch-environment.mjs: Seveso establishments per million inhabitants, ISPRA emissions of SOx per km² and of NOx and primary PM2.5 per inhabitant; for each, the form that passes the duplicate screen is scored and the other form is disclosed in the polarity register. Then min-max normalization to 0-100 across the 20 Italian regions using each indicator's most recent available year. Polarity inverts the scale where higher raw values indicate higher risk. 100 = best-performing region (very low risk), 0 = worst (very high risk). Scores are carried at full precision through every aggregation step and rounded only for presentation, always to the nearest integer (map, score cards, ranking table, region pages and Annex C of the methodology document); ranks are taken on the unrounded values. Risk bands are assigned on the score rounded to the nearest integer. Exception: categorical classes are absolute ratings scored on a fixed scale rather than min-max: hazard classes (ThinkHazard! coastal flood and tsunami, DPC volcanic class: none/very low=100, low=67, medium=33, high=0), the health recovery-plan regime (no plan=100, plan administered by the region=50, plan under a commissario ad acta=0) and the stage of the regional climate-adaptation strategy and plan (strategy and plan=100, strategy=67, path started=33, other initiatives only=0; Trentino-Alto Adige takes the resident-weighted mean of the Bolzano and Trento classes). 'No data' for coastal flood and tsunami means no exposure (landlocked region) and scores 100. Local government debt (EUR million) is divided by resident population before scoring (intensityTransforms)."</w:t>
      </w:r>
    </w:p>
    <w:p>
      <w:pPr>
        <w:pStyle w:val="Heading2"/>
        <w:spacing w:after="120" w:before="280"/>
      </w:pPr>
      <w:r>
        <w:t xml:space="preserve">4.5 Frequency of data updates and revision of historical data (RTS Article 4(3)(e); Annex III point 2(b)(iii))</w:t>
      </w:r>
    </w:p>
    <w:p>
      <w:pPr>
        <w:spacing w:after="100" w:line="276"/>
      </w:pPr>
      <w:r>
        <w:rPr>
          <w:sz w:val="20"/>
          <w:szCs w:val="20"/>
        </w:rPr>
        <w:t xml:space="preserve">Data are refreshed at least once a year, after the ISTAT BES intermediate update (usually April) and the annual ISTAT SDG release; external sources are refreshed in the same cycle, and additionally when a source publishes a new edition of a dataset used by the Index. Each refresh produces a new vintage identified by its generation timestamp (current vintage: 29 September 2026). Historical vintages are not recomputed retroactively when a source revises its back series: revisions flow into the next vintage. Corrections of processing errors in a published vintage are applied by re-issuing the vintage and are logged in the version history (section 8.4).</w:t>
      </w:r>
    </w:p>
    <w:p>
      <w:pPr>
        <w:pStyle w:val="Heading2"/>
        <w:spacing w:after="120" w:before="280"/>
      </w:pPr>
      <w:r>
        <w:t xml:space="preserve">4.6 Use of artificial intelligence (point 1(k); Annex III point 2(e))</w:t>
      </w:r>
    </w:p>
    <w:p>
      <w:pPr>
        <w:spacing w:after="100" w:line="276"/>
      </w:pPr>
      <w:r>
        <w:rPr>
          <w:sz w:val="20"/>
          <w:szCs w:val="20"/>
        </w:rPr>
        <w:t xml:space="preserve">No artificial-intelligence or machine-learning system is used in data collection, data processing or in the determination of any score. All steps are deterministic, scripted transformations whose code is version-controlled and can be re-run to reproduce every published number. Consequently no AI-specific limitations or risks apply to the rating process.</w:t>
      </w:r>
    </w:p>
    <w:p>
      <w:pPr>
        <w:pStyle w:val="Heading2"/>
        <w:spacing w:after="120" w:before="280"/>
      </w:pPr>
      <w:r>
        <w:t xml:space="preserve">4.7 Data quality controls (RTS Article 4(1)(f); Annex III point 2(b)(iv))</w:t>
      </w:r>
    </w:p>
    <w:p>
      <w:pPr>
        <w:pStyle w:val="ListParagraph"/>
        <w:numPr>
          <w:ilvl w:val="0"/>
          <w:numId w:val="1"/>
        </w:numPr>
        <w:spacing w:after="60" w:line="276"/>
      </w:pPr>
      <w:r>
        <w:rPr>
          <w:sz w:val="20"/>
          <w:szCs w:val="20"/>
        </w:rPr>
        <w:t xml:space="preserve">Source files are compared cell by cell against the previously used edition before they replace it, and file checksums are recorded, so that unexpected restatements are detected.</w:t>
      </w:r>
    </w:p>
    <w:p>
      <w:pPr>
        <w:pStyle w:val="ListParagraph"/>
        <w:numPr>
          <w:ilvl w:val="0"/>
          <w:numId w:val="1"/>
        </w:numPr>
        <w:spacing w:after="60" w:line="276"/>
      </w:pPr>
      <w:r>
        <w:rPr>
          <w:sz w:val="20"/>
          <w:szCs w:val="20"/>
        </w:rPr>
        <w:t xml:space="preserve">Automated admission tests at every build: coverage threshold (≥ 15 regions), lookup of every indicator in the signed polarity register, code-based deduplication log, and correlation-based redundancy test for new candidates.</w:t>
      </w:r>
    </w:p>
    <w:p>
      <w:pPr>
        <w:pStyle w:val="ListParagraph"/>
        <w:numPr>
          <w:ilvl w:val="0"/>
          <w:numId w:val="1"/>
        </w:numPr>
        <w:spacing w:after="60" w:line="276"/>
      </w:pPr>
      <w:r>
        <w:rPr>
          <w:sz w:val="20"/>
          <w:szCs w:val="20"/>
        </w:rPr>
        <w:t xml:space="preserve">Automated build gates that stop publication: an indicator reaching the scoring step without a register entry; an external source whose declared sign disagrees with its register entry; a pair of admitted indicators with |r| ≥ 0.99 without a documented keep/drop decision; a documented decision that no longer meets the threshold; a thematic group with fewer than 2 indicators.</w:t>
      </w:r>
    </w:p>
    <w:p>
      <w:pPr>
        <w:pStyle w:val="ListParagraph"/>
        <w:numPr>
          <w:ilvl w:val="0"/>
          <w:numId w:val="1"/>
        </w:numPr>
        <w:spacing w:after="60" w:line="276"/>
      </w:pPr>
      <w:r>
        <w:rPr>
          <w:sz w:val="20"/>
          <w:szCs w:val="20"/>
        </w:rPr>
        <w:t xml:space="preserve">Indicators failing the tests are excluded and listed with the reason in the machine-readable methodology file and in Annex B (74 in the current vintage); they are re-tested at each vintage.</w:t>
      </w:r>
    </w:p>
    <w:p>
      <w:pPr>
        <w:pStyle w:val="ListParagraph"/>
        <w:numPr>
          <w:ilvl w:val="0"/>
          <w:numId w:val="1"/>
        </w:numPr>
        <w:spacing w:after="60" w:line="276"/>
      </w:pPr>
      <w:r>
        <w:rPr>
          <w:sz w:val="20"/>
          <w:szCs w:val="20"/>
        </w:rPr>
        <w:t xml:space="preserve">Manual review by the methodology owner of every new or changed source, of the excluded list and of any score movement exceeding one risk band between vintages.</w:t>
      </w:r>
    </w:p>
    <w:p>
      <w:pPr>
        <w:pStyle w:val="ListParagraph"/>
        <w:numPr>
          <w:ilvl w:val="0"/>
          <w:numId w:val="1"/>
        </w:numPr>
        <w:spacing w:after="60" w:line="276"/>
      </w:pPr>
      <w:r>
        <w:rPr>
          <w:sz w:val="20"/>
          <w:szCs w:val="20"/>
        </w:rPr>
        <w:t xml:space="preserve">Remediation: a defect found after publication triggers a corrected re-issue of the vintage and an entry in the version history.</w:t>
      </w:r>
    </w:p>
    <w:p>
      <w:pPr>
        <w:pStyle w:val="Heading1"/>
        <w:spacing w:after="160" w:before="360"/>
      </w:pPr>
      <w:r>
        <w:t xml:space="preserve">5. Scoring model (Annex III, points 1(g), 1(h), 1(i); Annex III point 2(a)(i)–(iii))</w:t>
      </w:r>
    </w:p>
    <w:p>
      <w:pPr>
        <w:pStyle w:val="Heading2"/>
        <w:spacing w:after="120" w:before="280"/>
      </w:pPr>
      <w:r>
        <w:t xml:space="preserve">5.1 Pipeline</w:t>
      </w:r>
    </w:p>
    <w:p>
      <w:pPr>
        <w:pStyle w:val="ListParagraph"/>
        <w:numPr>
          <w:ilvl w:val="0"/>
          <w:numId w:val="1"/>
        </w:numPr>
        <w:spacing w:after="60" w:line="276"/>
      </w:pPr>
      <w:r>
        <w:rPr>
          <w:sz w:val="20"/>
          <w:szCs w:val="20"/>
        </w:rPr>
        <w:t xml:space="preserve">Step 1 — Select, for each indicator and region, the most recent available observation; convert absolute totals to intensities (per inhabitant or per km²) where the register requires it.</w:t>
      </w:r>
    </w:p>
    <w:p>
      <w:pPr>
        <w:pStyle w:val="ListParagraph"/>
        <w:numPr>
          <w:ilvl w:val="0"/>
          <w:numId w:val="1"/>
        </w:numPr>
        <w:spacing w:after="60" w:line="276"/>
      </w:pPr>
      <w:r>
        <w:rPr>
          <w:sz w:val="20"/>
          <w:szCs w:val="20"/>
        </w:rPr>
        <w:t xml:space="preserve">Step 2 — Normalise each indicator across the 20 regions to 0–100 with min-max scaling, then invert it when the polarity register records that a higher raw value means higher risk, so that 100 always denotes the lowest-risk region.</w:t>
      </w:r>
    </w:p>
    <w:p>
      <w:pPr>
        <w:pStyle w:val="ListParagraph"/>
        <w:numPr>
          <w:ilvl w:val="0"/>
          <w:numId w:val="1"/>
        </w:numPr>
        <w:spacing w:after="60" w:line="276"/>
      </w:pPr>
      <w:r>
        <w:rPr>
          <w:sz w:val="20"/>
          <w:szCs w:val="20"/>
        </w:rPr>
        <w:t xml:space="preserve">Step 3 — Average indicator scores with equal weights into thematic group scores (every group holds at least 2 indicators; Annex B.4).</w:t>
      </w:r>
    </w:p>
    <w:p>
      <w:pPr>
        <w:pStyle w:val="ListParagraph"/>
        <w:numPr>
          <w:ilvl w:val="0"/>
          <w:numId w:val="1"/>
        </w:numPr>
        <w:spacing w:after="60" w:line="276"/>
      </w:pPr>
      <w:r>
        <w:rPr>
          <w:sz w:val="20"/>
          <w:szCs w:val="20"/>
        </w:rPr>
        <w:t xml:space="preserve">Step 4 — Average group scores with equal weights into the E, S and G factor scores.</w:t>
      </w:r>
    </w:p>
    <w:p>
      <w:pPr>
        <w:pStyle w:val="ListParagraph"/>
        <w:numPr>
          <w:ilvl w:val="0"/>
          <w:numId w:val="1"/>
        </w:numPr>
        <w:spacing w:after="60" w:line="276"/>
      </w:pPr>
      <w:r>
        <w:rPr>
          <w:sz w:val="20"/>
          <w:szCs w:val="20"/>
        </w:rPr>
        <w:t xml:space="preserve">Step 5 — Combine the factor scores with the fixed weights (33.3% / 33.3% / 33.3%) into the total score.</w:t>
      </w:r>
    </w:p>
    <w:p>
      <w:pPr>
        <w:pStyle w:val="ListParagraph"/>
        <w:numPr>
          <w:ilvl w:val="0"/>
          <w:numId w:val="1"/>
        </w:numPr>
        <w:spacing w:after="60" w:line="276"/>
      </w:pPr>
      <w:r>
        <w:rPr>
          <w:sz w:val="20"/>
          <w:szCs w:val="20"/>
        </w:rPr>
        <w:t xml:space="preserve">Step 6 — Rank the regions on the unrounded total and factor scores (identical scores share a joint rank), then map the scores, rounded to the nearest integer, to the seven risk bands.</w:t>
      </w:r>
    </w:p>
    <w:p>
      <w:pPr>
        <w:pStyle w:val="Heading2"/>
        <w:spacing w:after="120" w:before="280"/>
      </w:pPr>
      <w:r>
        <w:t xml:space="preserve">5.2 Topics covered under each factor and indicative correspondence with the ESRS (point 1(i); Annex III point 2(a)(ii))</w:t>
      </w:r>
    </w:p>
    <w:p>
      <w:pPr>
        <w:spacing w:after="100" w:line="276"/>
      </w:pPr>
      <w:r>
        <w:rPr>
          <w:sz w:val="20"/>
          <w:szCs w:val="20"/>
        </w:rPr>
        <w:t xml:space="preserve">The European Sustainability Reporting Standards (ESRS) adopted under Article 29b of Directive 2013/34/EU are written for undertakings, not for territories. The correspondence below is therefore indicative and topic-level only: it tells a user which ESRS sustainability matters are closest to each thematic group of the Index. It does not imply that the indicators are ESRS datapoints.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53"/>
        <w:gridCol w:w="4530"/>
        <w:gridCol w:w="964"/>
        <w:gridCol w:w="2891"/>
      </w:tblGrid>
      <w:tr>
        <w:trPr>
          <w:cantSplit/>
          <w:tblHeader/>
        </w:trPr>
        <w:tc>
          <w:tcPr>
            <w:tcW w:type="dxa" w:w="1253"/>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Factor</w:t>
            </w:r>
          </w:p>
        </w:tc>
        <w:tc>
          <w:tcPr>
            <w:tcW w:type="dxa" w:w="4530"/>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Thematic group</w:t>
            </w:r>
          </w:p>
        </w:tc>
        <w:tc>
          <w:tcPr>
            <w:tcW w:type="dxa" w:w="964"/>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Indicators</w:t>
            </w:r>
          </w:p>
        </w:tc>
        <w:tc>
          <w:tcPr>
            <w:tcW w:type="dxa" w:w="2891"/>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Closest ESRS topical standard (indicative)</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453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Air quality</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3</w:t>
            </w:r>
          </w:p>
        </w:tc>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E2 Pollution</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453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Ambiente</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E1–E5 (multi-topic environment domain)</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453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Biodiversity and land</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w:t>
            </w:r>
          </w:p>
        </w:tc>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E4 Biodiversity and ecosystems</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453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Emissions and transition risk</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4</w:t>
            </w:r>
          </w:p>
        </w:tc>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E1 Climate change (incl. physical and transition risk)</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453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Forests</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w:t>
            </w:r>
          </w:p>
        </w:tc>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E4 Biodiversity and ecosystems</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453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Hydrogeological hazard</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w:t>
            </w:r>
          </w:p>
        </w:tc>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E1 Climate change (incl. physical and transition risk)</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453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Paesaggio e patrimonio culturale</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11</w:t>
            </w:r>
          </w:p>
        </w:tc>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E4 Biodiversity and ecosystems</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453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Physical hazards</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w:t>
            </w:r>
          </w:p>
        </w:tc>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E1 Climate change (incl. physical and transition risk)</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453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Pollution pressures</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w:t>
            </w:r>
          </w:p>
        </w:tc>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E2 Pollution</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453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Projected climate hazards</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3</w:t>
            </w:r>
          </w:p>
        </w:tc>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E1 Climate change (incl. physical and transition risk)</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453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11 — Sustainable cities and communities</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7</w:t>
            </w:r>
          </w:p>
        </w:tc>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E5 Resource use and circular economy / sustainable settlements</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453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12 — Responsible consumption and production</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4</w:t>
            </w:r>
          </w:p>
        </w:tc>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E5 Resource use and circular economy / sustainable settlements</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453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14 — Life below water</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w:t>
            </w:r>
          </w:p>
        </w:tc>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E3 Water and marine resources</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453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15 — Life on land</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3</w:t>
            </w:r>
          </w:p>
        </w:tc>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E4 Biodiversity and ecosystems</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453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6 — Clean water and sanitation</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w:t>
            </w:r>
          </w:p>
        </w:tc>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E3 Water and marine resources</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453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7 — Affordable and clean energy</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w:t>
            </w:r>
          </w:p>
        </w:tc>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E1 Climate change (incl. physical and transition risk)</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453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Benessere economico</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9</w:t>
            </w:r>
          </w:p>
        </w:tc>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S3 Affected communities (living conditions, essential services)</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453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Benessere soggettivo</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4</w:t>
            </w:r>
          </w:p>
        </w:tc>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S3 Affected communities (living conditions, essential services)</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453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Istruzione e formazione</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15</w:t>
            </w:r>
          </w:p>
        </w:tc>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S3 Affected communities (living conditions, essential services)</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453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Lavoro e conciliazione dei tempi di vita</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14</w:t>
            </w:r>
          </w:p>
        </w:tc>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S1 Own workforce (working conditions, equal treatment)</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453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Relazioni sociali</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9</w:t>
            </w:r>
          </w:p>
        </w:tc>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S3 Affected communities (living conditions, essential services)</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453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Salute</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16</w:t>
            </w:r>
          </w:p>
        </w:tc>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S3 Affected communities (living conditions, essential services)</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453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1 — No poverty</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w:t>
            </w:r>
          </w:p>
        </w:tc>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S3 Affected communities (living conditions, essential services)</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453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10 — Reduced inequalities</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w:t>
            </w:r>
          </w:p>
        </w:tc>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S3 Affected communities (living conditions, essential services)</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453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2 — Zero hunger</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6</w:t>
            </w:r>
          </w:p>
        </w:tc>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S3 Affected communities (living conditions, essential services)</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453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3 — Good health and well-being</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16</w:t>
            </w:r>
          </w:p>
        </w:tc>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S3 Affected communities (living conditions, essential services)</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453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4 — Quality education</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18</w:t>
            </w:r>
          </w:p>
        </w:tc>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S3 Affected communities (living conditions, essential services)</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453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5 — Gender equality</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4</w:t>
            </w:r>
          </w:p>
        </w:tc>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S1 Own workforce (working conditions, equal treatment)</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453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8 — Decent work and economic growth</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3</w:t>
            </w:r>
          </w:p>
        </w:tc>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S1 Own workforce (working conditions, equal treatment)</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453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Sicurezza</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10</w:t>
            </w:r>
          </w:p>
        </w:tc>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S3 Affected communities (living conditions, essential services)</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453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Climate governance</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w:t>
            </w:r>
          </w:p>
        </w:tc>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G1 Governance environment (institutions, business conduct, public services)</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453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EU-funds delivery</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4</w:t>
            </w:r>
          </w:p>
        </w:tc>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ESRS 2 general disclosures (cross-cutting)</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453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Health governance</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4</w:t>
            </w:r>
          </w:p>
        </w:tc>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G1 Governance environment (institutions, business conduct, public services)</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453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Innovazione, ricerca e creatività</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10</w:t>
            </w:r>
          </w:p>
        </w:tc>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G1 Governance environment (institutions, business conduct, public services)</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453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Politica e istituzioni</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12</w:t>
            </w:r>
          </w:p>
        </w:tc>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G1 Governance environment (institutions, business conduct, public services)</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453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Public finance and payment discipline</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w:t>
            </w:r>
          </w:p>
        </w:tc>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G1 Governance environment (institutions, business conduct, public services)</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453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Qualità dei servizi</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15</w:t>
            </w:r>
          </w:p>
        </w:tc>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G1 Governance environment (institutions, business conduct, public services)</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453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16 — Peace, justice and strong institutions</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w:t>
            </w:r>
          </w:p>
        </w:tc>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G1 Governance environment (institutions, business conduct, public services)</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453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17 — Partnerships for the goals</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3</w:t>
            </w:r>
          </w:p>
        </w:tc>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G1 Governance environment (institutions, business conduct, public services)</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453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9 — Industry, innovation and infrastructure</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4</w:t>
            </w:r>
          </w:p>
        </w:tc>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G1 Governance environment (institutions, business conduct, public services)</w:t>
            </w:r>
          </w:p>
        </w:tc>
      </w:tr>
    </w:tbl>
    <w:p>
      <w:pPr>
        <w:pStyle w:val="Heading2"/>
        <w:spacing w:after="120" w:before="280"/>
      </w:pPr>
      <w:r>
        <w:t xml:space="preserve">5.3 Polarity register</w:t>
      </w:r>
    </w:p>
    <w:p>
      <w:pPr>
        <w:spacing w:after="100" w:line="276"/>
      </w:pPr>
      <w:r>
        <w:rPr>
          <w:sz w:val="20"/>
          <w:szCs w:val="20"/>
        </w:rPr>
        <w:t xml:space="preserve">Each indicator carries a polarity: "risk" when a higher raw value means higher territorial risk (152 scored indicators) and "safety" when a higher raw value means lower risk (126 scored indicators). The sign of every indicator (whether a higher value means more or less ESG risk) is fixed in a human-signed register (lib/polarity-register.mjs) with a written rationale per indicator, a first reviewer and a slot for the second reviewer. No sign is inferred from an indicator's name anywhere in the pipeline: an indicator that reaches the scoring step without a signed entry fails the build, and an external source whose declared sign disagrees with its entry fails it too. Entries flagged as owner decisions are applied as recommended and listed for confirmation.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6747"/>
      </w:tblGrid>
      <w:tr>
        <w:trPr>
          <w:cantSplit/>
          <w:tblHeader/>
        </w:trPr>
        <w:tc>
          <w:tcPr>
            <w:tcW w:type="dxa" w:w="2891"/>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Element</w:t>
            </w:r>
          </w:p>
        </w:tc>
        <w:tc>
          <w:tcPr>
            <w:tcW w:type="dxa" w:w="6747"/>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Disclosure</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Register version</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1.2 — 351 entries (154 risk, 130 safety, 67 excluded with rationale)</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First review</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v0 audit, 2026-09-27 — all 310 indicators reaching the scoring step (v1.1 review 2), plus the 7 administrative-performance indicators sourced for v1.2 (screened against the 253 indicators scored in v1.1) and the 18 series of the v1.2 environmental review (5 air-quality, 11 pollution-pressure, noise and waste-water, 2 greenhouse-gas; each screened against the indicators scored before it was added), and the 2 EEA series of the v1.2 stale-series review (bathing-water classification, waste-water treatment compliance), and the 6 series of the v1.2 missing-indicator review (net land take, three projected climate hazards, energy class of dwellings, indoor radon; 13 candidates screened against the 269 indicators scored before it), the 5 series of the v1.2 social-candidate review (hip-fracture surgery within 48 hours, 30-day mortality after a heart attack, eviction orders, energy poverty, inner-area residents; 7 candidates screened against the 275 indicators scored before it) and the 2 series of the v1.2 governance-candidate review (Covenant of Mayors plan coverage, regional adaptation stage; 7 items screened against the 280 indicators scored before it); the v1.2 duplicate audit of 29 Sep 2026 re-tested every pair of the 282 series then scored, by correlation and by name, for the same measure published under two codes (7 same-measure pairs, each resolved under the owner's sourcing rule); the owner's bed-capacity ruling of 29 Sep 2026 screened 5 bed series (4 ISTAT, 1 Eurostat) against the 275 indicators scored after the audit</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Second review</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highlight w:val="yellow"/>
                <w:highlightCs w:val="yellow"/>
              </w:rPr>
              <w:t xml:space="preserve">[TO BE COMPLETED BY THE PROVIDER: second reviewer, date and scope — every entry carries an empty second-reviewer slot until countersigned]</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Corrections from version 1.0</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27 indicators whose sign was inverted by the keyword rules of version 1.0 (Annex B.5)</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Owner decisions</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35 indicators whose sign is a matter of judgement: 35 ruled by the methodology owner (Annex B.6)</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Retired since version 1.0</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43 indicators scored in version 1.0 and excluded by the register: 30 by the version 1.1 audit, 13 in version 1.2 (Annex B.7)</w:t>
            </w:r>
          </w:p>
        </w:tc>
      </w:tr>
    </w:tbl>
    <w:p>
      <w:pPr>
        <w:pStyle w:val="Heading2"/>
        <w:spacing w:after="120" w:before="280"/>
      </w:pPr>
      <w:r>
        <w:t xml:space="preserve">5.4 Formulas</w:t>
      </w:r>
    </w:p>
    <w:p>
      <w:pPr>
        <w:spacing w:after="100" w:line="276"/>
      </w:pPr>
      <w:r>
        <w:rPr>
          <w:sz w:val="20"/>
          <w:szCs w:val="20"/>
        </w:rPr>
        <w:t xml:space="preserve">For indicator i and region r, with v the raw value and min/max taken over the regions with data in the vintage:</w:t>
      </w:r>
    </w:p>
    <w:p>
      <w:pPr>
        <w:spacing w:after="100" w:line="276"/>
        <w:jc w:val="center"/>
      </w:pPr>
      <w:r>
        <w:rPr>
          <w:i/>
          <w:iCs/>
          <w:sz w:val="20"/>
          <w:szCs w:val="20"/>
        </w:rPr>
        <w:t xml:space="preserve">normalised(i, r) = (v(i, r) − min(i)) / (max(i) − min(i)) × 100</w:t>
      </w:r>
    </w:p>
    <w:p>
      <w:pPr>
        <w:spacing w:after="100" w:line="276"/>
        <w:jc w:val="center"/>
      </w:pPr>
      <w:r>
        <w:rPr>
          <w:i/>
          <w:iCs/>
          <w:sz w:val="20"/>
          <w:szCs w:val="20"/>
        </w:rPr>
        <w:t xml:space="preserve">score(i, r) = 100 − normalised(i, r) if polarity is risk; otherwise score(i, r) = normalised(i, r)</w:t>
      </w:r>
    </w:p>
    <w:p>
      <w:pPr>
        <w:spacing w:after="100" w:line="276"/>
        <w:jc w:val="center"/>
      </w:pPr>
      <w:r>
        <w:rPr>
          <w:i/>
          <w:iCs/>
          <w:sz w:val="20"/>
          <w:szCs w:val="20"/>
        </w:rPr>
        <w:t xml:space="preserve">group(g, r) = mean of score(i, r) over the indicators i of group g with data for r</w:t>
      </w:r>
    </w:p>
    <w:p>
      <w:pPr>
        <w:spacing w:after="100" w:line="276"/>
        <w:jc w:val="center"/>
      </w:pPr>
      <w:r>
        <w:rPr>
          <w:i/>
          <w:iCs/>
          <w:sz w:val="20"/>
          <w:szCs w:val="20"/>
        </w:rPr>
        <w:t xml:space="preserve">factor(p, r) = mean of group(g, r) over the groups g of factor p</w:t>
      </w:r>
    </w:p>
    <w:p>
      <w:pPr>
        <w:spacing w:after="100" w:line="276"/>
        <w:jc w:val="center"/>
      </w:pPr>
      <w:r>
        <w:rPr>
          <w:i/>
          <w:iCs/>
          <w:sz w:val="20"/>
          <w:szCs w:val="20"/>
        </w:rPr>
        <w:t xml:space="preserve">total(r) = 33.3% × factor(E, r) + 33.3% × factor(S, r) + 33.3% × factor(G, r)</w:t>
      </w:r>
    </w:p>
    <w:p>
      <w:pPr>
        <w:spacing w:after="100" w:line="276"/>
      </w:pPr>
      <w:r>
        <w:rPr>
          <w:sz w:val="20"/>
          <w:szCs w:val="20"/>
        </w:rPr>
        <w:t xml:space="preserve">No rounding is applied at any level of the computation: indicator, group, factor and total scores are carried at full floating-point precision and published as such in the machine-readable files, so that every published aggregate can be reproduced exactly from the published indicator scores. Rounding is a presentation step only and is always to the nearest integer (map, score cards, ranking table, region pages and Annex C). If max(i) equals min(i) the indicator carries no information for that vintage and is not scored. Ordinal hazard classes (the Civil Protection volcanic class; ThinkHazard! coastal flood and tsunami levels) are mapped to fixed points of the 0–100 scale — none or very low 100, low 67, medium 33, high 0 — instead of min-max, so that a hazard rated high everywhere stays high-risk everywhere.</w:t>
      </w:r>
    </w:p>
    <w:p>
      <w:pPr>
        <w:spacing w:after="100" w:line="276"/>
        <w:jc w:val="center"/>
      </w:pPr>
      <w:r>
        <w:rPr>
          <w:i/>
          <w:iCs/>
          <w:sz w:val="20"/>
          <w:szCs w:val="20"/>
        </w:rPr>
        <w:t xml:space="preserve">rank(r) = 1 + number of regions whose unrounded total exceeds total(r)</w:t>
      </w:r>
    </w:p>
    <w:p>
      <w:pPr>
        <w:spacing w:after="100" w:line="276"/>
      </w:pPr>
      <w:r>
        <w:rPr>
          <w:sz w:val="20"/>
          <w:szCs w:val="20"/>
        </w:rPr>
        <w:t xml:space="preserve">The same competition ranking is applied to each factor score. Regions with identical unrounded scores therefore share a joint rank, marked with "=" in the published tables; no tie-breaking by source order or region code is applied.</w:t>
      </w:r>
    </w:p>
    <w:p>
      <w:pPr>
        <w:pStyle w:val="Heading2"/>
        <w:spacing w:after="120" w:before="280"/>
      </w:pPr>
      <w:r>
        <w:t xml:space="preserve">5.5 Weighting method and key performance indicators per factor (Annex III point 2(a)(ii))</w:t>
      </w:r>
    </w:p>
    <w:p>
      <w:pPr>
        <w:spacing w:after="100" w:line="276"/>
      </w:pPr>
      <w:r>
        <w:rPr>
          <w:sz w:val="20"/>
          <w:szCs w:val="20"/>
        </w:rPr>
        <w:t xml:space="preserve">The weighting method is described in section 2.5; the key performance indicators of each factor are the thematic groups listed in section 5.2, and the underlying indicators, with unit, source, polarity, coverage and reference year, are listed exhaustively in Annex A.</w:t>
      </w:r>
    </w:p>
    <w:p>
      <w:pPr>
        <w:pStyle w:val="Heading2"/>
        <w:spacing w:after="120" w:before="280"/>
      </w:pPr>
      <w:r>
        <w:t xml:space="preserve">5.6 Comparable presentation of the E, S and G results (Annex III point 2(a)(iii))</w:t>
      </w:r>
    </w:p>
    <w:p>
      <w:pPr>
        <w:spacing w:after="100" w:line="276"/>
      </w:pPr>
      <w:r>
        <w:rPr>
          <w:sz w:val="20"/>
          <w:szCs w:val="20"/>
        </w:rPr>
        <w:t xml:space="preserve">For every rated item the Index publishes the total score and the three factor scores on the same 0–100 scale, mapped to the same risk bands, together with the rank of the region on the total and on each factor and the scores of all thematic groups. Annex C reproduces the factor results of the current vintage for all rated items in a single comparable table, with scores rounded to the nearest integer and joint ranks marked with "=".</w:t>
      </w:r>
    </w:p>
    <w:p>
      <w:pPr>
        <w:spacing w:after="100" w:line="276"/>
      </w:pPr>
      <w:r>
        <w:rPr>
          <w:sz w:val="20"/>
          <w:szCs w:val="20"/>
        </w:rPr>
        <w:t xml:space="preserve">Factor levels are not compared with one another, either nationally or for a single region. Min-max scaling gives every indicator a best region at 100 and a worst at 0, and averaging pulls every factor mean toward the middle of the scale (current national means: E 56, S 55, G 56); a difference between factor levels therefore reflects the distribution of the underlying series, not a strength or weakness of the territory. Published narratives describe a region by its rank within each factor.</w:t>
      </w:r>
    </w:p>
    <w:p>
      <w:pPr>
        <w:spacing w:after="100" w:line="276"/>
      </w:pPr>
      <w:r>
        <w:rPr>
          <w:sz w:val="20"/>
          <w:szCs w:val="20"/>
        </w:rPr>
        <w:t xml:space="preserve">The scores are not adjusted for income. Their correlation with GDP per capita (r = 0.88 on the total in the current vintage) is disclosed as a limitation in section 6.2; the complementary income-adjusted view published in version 1.1 was withdrawn in version 1.2 (section 8.1).</w:t>
      </w:r>
    </w:p>
    <w:p>
      <w:pPr>
        <w:pStyle w:val="Heading1"/>
        <w:spacing w:after="160" w:before="360"/>
      </w:pPr>
      <w:r>
        <w:t xml:space="preserve">6. Limitations (Annex III, points 1(m), 1(q); RTS Article 5; Annex III points 2(a)(iv), 2(b)(v))</w:t>
      </w:r>
    </w:p>
    <w:p>
      <w:pPr>
        <w:pStyle w:val="Heading2"/>
        <w:spacing w:after="120" w:before="280"/>
      </w:pPr>
      <w:r>
        <w:t xml:space="preserve">6.1 Limitations in data sources (RTS Article 5(a), (b))</w:t>
      </w:r>
    </w:p>
    <w:p>
      <w:pPr>
        <w:pStyle w:val="ListParagraph"/>
        <w:numPr>
          <w:ilvl w:val="0"/>
          <w:numId w:val="1"/>
        </w:numPr>
        <w:spacing w:after="60" w:line="276"/>
      </w:pPr>
      <w:r>
        <w:rPr>
          <w:sz w:val="20"/>
          <w:szCs w:val="20"/>
        </w:rPr>
        <w:t xml:space="preserve">Availability and consistency: indicators have different reference years (1998 to 2026 in the current vintage, while the 3 climate projections refer to 2040–2059) and are combined as if simultaneous; 28 of 278 indicators are missing for one or more regions, so some group scores rest on fewer indicators for some regions.</w:t>
      </w:r>
    </w:p>
    <w:p>
      <w:pPr>
        <w:pStyle w:val="ListParagraph"/>
        <w:numPr>
          <w:ilvl w:val="0"/>
          <w:numId w:val="1"/>
        </w:numPr>
        <w:spacing w:after="60" w:line="276"/>
      </w:pPr>
      <w:r>
        <w:rPr>
          <w:sz w:val="20"/>
          <w:szCs w:val="20"/>
        </w:rPr>
        <w:t xml:space="preserve">Timeliness: official statistics are published with a lag of one to three years; hazard classifications (Civil Protection seismic zones and volcano register, ThinkHazard! coastal flood and tsunami levels) are present-day classifications without a reference year. Recent events (for example a flood in the current year) are not reflected until the underlying statistics are updated.</w:t>
      </w:r>
    </w:p>
    <w:p>
      <w:pPr>
        <w:pStyle w:val="ListParagraph"/>
        <w:numPr>
          <w:ilvl w:val="0"/>
          <w:numId w:val="1"/>
        </w:numPr>
        <w:spacing w:after="60" w:line="276"/>
      </w:pPr>
      <w:r>
        <w:rPr>
          <w:sz w:val="20"/>
          <w:szCs w:val="20"/>
        </w:rPr>
        <w:t xml:space="preserve">Data age: An indicator whose most recent regional value predates 2020 is flagged as stale on the region pages and listed here. No data-age cut-off is applied to the score (decision taken in v1.0 and kept in v1.1 and v1.2); instead each stale indicator carries a note on why no newer regional edition exists, and indicators superseded by a newer edition of the same survey are retired through the polarity register (v1.1: the 2014 violence-against-women measures, replaced by the 2025 survey scored as SDG-258; v1.2: the 2019 coastal-bathability share, replaced with the ISTAT bathing-water series by the EEA site classification for the 2025 season). A v1.2 search for replacements of the stale corruption-request and small-firm credit series (ANAC, Banca d'Italia BDS) found none that passes the admission tests (see sources not integrable). 8 of 278 scored indicators are flagged in the current vintage (table below); the flag is shown next to the indicator on every region page.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53"/>
        <w:gridCol w:w="2891"/>
        <w:gridCol w:w="964"/>
        <w:gridCol w:w="867"/>
        <w:gridCol w:w="3662"/>
      </w:tblGrid>
      <w:tr>
        <w:trPr>
          <w:cantSplit/>
          <w:tblHeader/>
        </w:trPr>
        <w:tc>
          <w:tcPr>
            <w:tcW w:type="dxa" w:w="1253"/>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Id</w:t>
            </w:r>
          </w:p>
        </w:tc>
        <w:tc>
          <w:tcPr>
            <w:tcW w:type="dxa" w:w="2891"/>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Indicator</w:t>
            </w:r>
          </w:p>
        </w:tc>
        <w:tc>
          <w:tcPr>
            <w:tcW w:type="dxa" w:w="964"/>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Factor</w:t>
            </w:r>
          </w:p>
        </w:tc>
        <w:tc>
          <w:tcPr>
            <w:tcW w:type="dxa" w:w="867"/>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Latest year</w:t>
            </w:r>
          </w:p>
        </w:tc>
        <w:tc>
          <w:tcPr>
            <w:tcW w:type="dxa" w:w="3662"/>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Why no newer regional edition</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RADON:INDOOR_MEAN</w:t>
            </w:r>
          </w:p>
        </w:tc>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Mean indoor radon concentration in dwellings (national survey 1989-1998, as reported in the national radon action plan 2023-2032)</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1998</w:t>
            </w:r>
          </w:p>
        </w:tc>
        <w:tc>
          <w:tcPr>
            <w:tcW w:type="dxa" w:w="366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Measured 1989-1998: the national survey is still the only harmonised regional measurement and the reference of the national radon action plan 2023-2032; later campaigns were run region by region with different designs. Radon comes from the rocks and soils under a building, so the regional pattern changes little over time. Kept and flagged as stale.</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BES:03LAV010</w:t>
            </w:r>
          </w:p>
        </w:tc>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Occupati (15-64 anni) che svolgono più di 60 ore settimanali di lavoro retribuito e/o familiare</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2014</w:t>
            </w:r>
          </w:p>
        </w:tc>
        <w:tc>
          <w:tcPr>
            <w:tcW w:type="dxa" w:w="366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Latest regional data 2014 (ISTAT Time Use survey 2013-14). The 2023-24 Time Use edition has not yet been released at regional level in the BES appendix; kept and flagged as stale.</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SDG:SDG-59</w:t>
            </w:r>
          </w:p>
        </w:tc>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Quota di tempo dedicato al lavoro non retribuito, domestico e di cura</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2014</w:t>
            </w:r>
          </w:p>
        </w:tc>
        <w:tc>
          <w:tcPr>
            <w:tcW w:type="dxa" w:w="366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Latest regional data 2014 (ISTAT Time Use survey 2013-14); the 2023-24 edition is not yet in the SDG file at regional level; kept and flagged as stale.</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JRC:SOIL_EROSION</w:t>
            </w:r>
          </w:p>
        </w:tc>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Soil erosion by water (RUSLE2015 mean soil loss, agricultural and natural land)</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2016</w:t>
            </w:r>
          </w:p>
        </w:tc>
        <w:tc>
          <w:tcPr>
            <w:tcW w:type="dxa" w:w="366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Reference year 2016 is the latest RUSLE2015 soil-loss estimate at NUTS 2 (JRC ESDAC via Eurostat aei_pr_soiler); the 2023 JRC update covers only the cover-management factor, not soil loss. Soil-loss potential is a slow structural variable, so the age matters less than for survey data; kept and flagged as stale.</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SDG:SDG-202</w:t>
            </w:r>
          </w:p>
        </w:tc>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Famiglie che hanno ricevuto richieste di denaro, favori o altro in cambio di facilitazioni o servizi negli ultimi 12 mesi</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2016</w:t>
            </w:r>
          </w:p>
        </w:tc>
        <w:tc>
          <w:tcPr>
            <w:tcW w:type="dxa" w:w="366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Latest regional data 2016. The 2022-23 ISTAT citizens' safety survey has been published only nationally (2023 value in the SDG file) and by macro-area; the regional breakdown is awaited; kept and flagged as stale. Replacement searched in the v1.2 stale-series review (28 Sep 2026): the ANAC 'Misura la corruzione' context and crime indicators stop at 2017, and red flag 9 (single-bid share) recomputed from the ANAC contract database for 2025 is not stable enough to rank regions (see sources not integrable).</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SDG:SDG-409</w:t>
            </w:r>
          </w:p>
        </w:tc>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Percentuale di piccole imprese con almeno un rapporto creditizio</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2018</w:t>
            </w:r>
          </w:p>
        </w:tc>
        <w:tc>
          <w:tcPr>
            <w:tcW w:type="dxa" w:w="366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Latest regional data 2018 (Banca d'Italia / ISTAT business register linkage); the SDG file carries no newer year; kept and flagged as stale. Replacement searched in the v1.2 stale-series review (28 Sep 2026): the Banca d'Italia BDS publishes no regional count or share of small firms with credit; its only regional firm-size series is the 12-month growth of loans to small firms (cube TFR20231, sector SBI33, to March 2026), a flow that runs opposite to the 2018 access level (r = -0.54) (see sources not integrable).</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SDG:SDG-164</w:t>
            </w:r>
          </w:p>
        </w:tc>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Domanda di contraccezione soddisfatta con metodi moderni durante gli ultimi 12 mesi</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2019</w:t>
            </w:r>
          </w:p>
        </w:tc>
        <w:tc>
          <w:tcPr>
            <w:tcW w:type="dxa" w:w="366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Latest regional data 2019 (ISTAT health survey); no newer regional edition in the 2026 SDG file; kept and flagged as stale.</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SDG:SDG-523</w:t>
            </w:r>
          </w:p>
        </w:tc>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Quota di territorio affetto da degrado del suolo</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2019</w:t>
            </w:r>
          </w:p>
        </w:tc>
        <w:tc>
          <w:tcPr>
            <w:tcW w:type="dxa" w:w="366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Latest regional estimate 2019 (ISPRA land-degradation assessment for SDG 15.3.1); the next assessment is not yet in the SDG file; kept and flagged as stale.</w:t>
            </w:r>
          </w:p>
        </w:tc>
      </w:tr>
    </w:tbl>
    <w:p>
      <w:pPr>
        <w:pStyle w:val="ListParagraph"/>
        <w:numPr>
          <w:ilvl w:val="0"/>
          <w:numId w:val="1"/>
        </w:numPr>
        <w:spacing w:after="60" w:line="276"/>
      </w:pPr>
      <w:r>
        <w:rPr>
          <w:sz w:val="20"/>
          <w:szCs w:val="20"/>
        </w:rPr>
        <w:t xml:space="preserve">Accuracy: several BES and SDG indicators are survey-based and carry sampling error, which is larger for the smallest regions (Valle d'Aosta, Molise, Basilicata); Eurostat statistically suppressed cells are treated as zero for minor classes, which can slightly understate totals.</w:t>
      </w:r>
    </w:p>
    <w:p>
      <w:pPr>
        <w:pStyle w:val="ListParagraph"/>
        <w:numPr>
          <w:ilvl w:val="0"/>
          <w:numId w:val="1"/>
        </w:numPr>
        <w:spacing w:after="60" w:line="276"/>
      </w:pPr>
      <w:r>
        <w:rPr>
          <w:sz w:val="20"/>
          <w:szCs w:val="20"/>
        </w:rPr>
        <w:t xml:space="preserve">Completeness of the ESG picture: some relevant phenomena have no regional statistical source (see Annex B, sources not integrable), for instance anti-money-laundering reports, protected-area coverage from international registers, or corporate-level Taxonomy alignment.</w:t>
      </w:r>
    </w:p>
    <w:p>
      <w:pPr>
        <w:pStyle w:val="Heading2"/>
        <w:spacing w:after="120" w:before="280"/>
      </w:pPr>
      <w:r>
        <w:t xml:space="preserve">6.2 Limitations in the methodology (RTS Article 5(c))</w:t>
      </w:r>
    </w:p>
    <w:p>
      <w:pPr>
        <w:pStyle w:val="ListParagraph"/>
        <w:numPr>
          <w:ilvl w:val="0"/>
          <w:numId w:val="1"/>
        </w:numPr>
        <w:spacing w:after="60" w:line="276"/>
      </w:pPr>
      <w:r>
        <w:rPr>
          <w:sz w:val="20"/>
          <w:szCs w:val="20"/>
        </w:rPr>
        <w:t xml:space="preserve">Min-max normalisation is sensitive to outliers: one extreme region compresses the score differences of all the others on that indicator.</w:t>
      </w:r>
    </w:p>
    <w:p>
      <w:pPr>
        <w:pStyle w:val="ListParagraph"/>
        <w:numPr>
          <w:ilvl w:val="0"/>
          <w:numId w:val="1"/>
        </w:numPr>
        <w:spacing w:after="60" w:line="276"/>
      </w:pPr>
      <w:r>
        <w:rPr>
          <w:sz w:val="20"/>
          <w:szCs w:val="20"/>
        </w:rPr>
        <w:t xml:space="preserve">Equal weights and arithmetic means imply full compensability: a very poor result in one theme can be offset by good results elsewhere and is not visible in the total score. Users needing a non-compensatory view should read the group scores.</w:t>
      </w:r>
    </w:p>
    <w:p>
      <w:pPr>
        <w:pStyle w:val="ListParagraph"/>
        <w:numPr>
          <w:ilvl w:val="0"/>
          <w:numId w:val="1"/>
        </w:numPr>
        <w:spacing w:after="60" w:line="276"/>
      </w:pPr>
      <w:r>
        <w:rPr>
          <w:sz w:val="20"/>
          <w:szCs w:val="20"/>
        </w:rPr>
        <w:t xml:space="preserve">Heterogeneous group sizes: a group measured by 2 indicators (for example forest dynamics or cohesion-policy implementation) weighs as much within its factor as a group measured by twenty indicators, so factor scores remain more sensitive to the small groups; the minimum of 2 indicators per group (section 2.5) bounds but does not remove this effect.</w:t>
      </w:r>
    </w:p>
    <w:p>
      <w:pPr>
        <w:pStyle w:val="ListParagraph"/>
        <w:numPr>
          <w:ilvl w:val="0"/>
          <w:numId w:val="1"/>
        </w:numPr>
        <w:spacing w:after="60" w:line="276"/>
      </w:pPr>
      <w:r>
        <w:rPr>
          <w:sz w:val="20"/>
          <w:szCs w:val="20"/>
        </w:rPr>
        <w:t xml:space="preserve">Relative scale: scores describe position among Italian regions only; a region can improve in absolute terms and still lose score if others improve faster, and scores are not comparable across vintages or countries.</w:t>
      </w:r>
    </w:p>
    <w:p>
      <w:pPr>
        <w:pStyle w:val="ListParagraph"/>
        <w:numPr>
          <w:ilvl w:val="0"/>
          <w:numId w:val="1"/>
        </w:numPr>
        <w:spacing w:after="60" w:line="276"/>
      </w:pPr>
      <w:r>
        <w:rPr>
          <w:sz w:val="20"/>
          <w:szCs w:val="20"/>
        </w:rPr>
        <w:t xml:space="preserve">Polarity assignment involves judgement for some indicators (for example working from home, or the share of graduates in scientific disciplines). Every sign is fixed in the signed register with its rationale (section 5.3); 35 contestable cases were put to the methodology owner, who ruled on 35 of them (each ruling and the reading it rejected are disclosed in Annex B.6); 67 indicators whose sign cannot be agreed are excluded rather than scored.</w:t>
      </w:r>
    </w:p>
    <w:p>
      <w:pPr>
        <w:pStyle w:val="ListParagraph"/>
        <w:numPr>
          <w:ilvl w:val="0"/>
          <w:numId w:val="1"/>
        </w:numPr>
        <w:spacing w:after="60" w:line="276"/>
      </w:pPr>
      <w:r>
        <w:rPr>
          <w:sz w:val="20"/>
          <w:szCs w:val="20"/>
        </w:rPr>
        <w:t xml:space="preserve">Income dependence: the total score correlates r = 0.88 with GDP per inhabitant in purchasing power standards (Eurostat nama_10r_2gdp, 2024) and the Social and Governance factors correlate r = 0.85 with each other, so a large part of the ranking restates the North–South income gradient. The Index does not adjust for income: the observed level of risk is what a user assessing exposure needs, and GDP per capita is not a scored indicator.</w:t>
      </w:r>
    </w:p>
    <w:p>
      <w:pPr>
        <w:pStyle w:val="ListParagraph"/>
        <w:numPr>
          <w:ilvl w:val="0"/>
          <w:numId w:val="1"/>
        </w:numPr>
        <w:spacing w:after="60" w:line="276"/>
      </w:pPr>
      <w:r>
        <w:rPr>
          <w:sz w:val="20"/>
          <w:szCs w:val="20"/>
        </w:rPr>
        <w:t xml:space="preserve">Factor levels are not comparable with one another: min-max scaling pulls every factor mean toward the middle of the scale, so differences between the E, S and G levels of a region reflect the distribution of the underlying series rather than relative strengths (section 5.6).</w:t>
      </w:r>
    </w:p>
    <w:p>
      <w:pPr>
        <w:pStyle w:val="ListParagraph"/>
        <w:numPr>
          <w:ilvl w:val="0"/>
          <w:numId w:val="1"/>
        </w:numPr>
        <w:spacing w:after="60" w:line="276"/>
      </w:pPr>
      <w:r>
        <w:rPr>
          <w:sz w:val="20"/>
          <w:szCs w:val="20"/>
        </w:rPr>
        <w:t xml:space="preserve">Territorial averaging: NUTS 2 values hide strong intra-regional heterogeneity (coastal vs mountain areas, metropolitan vs rural), so the Index is not a measure of risk at the level of a specific site, municipality or asset.</w:t>
      </w:r>
    </w:p>
    <w:p>
      <w:pPr>
        <w:pStyle w:val="ListParagraph"/>
        <w:numPr>
          <w:ilvl w:val="0"/>
          <w:numId w:val="1"/>
        </w:numPr>
        <w:spacing w:after="60" w:line="276"/>
      </w:pPr>
      <w:r>
        <w:rPr>
          <w:sz w:val="20"/>
          <w:szCs w:val="20"/>
        </w:rPr>
        <w:t xml:space="preserve">Hazard vs vulnerability: exposure indicators (hazard classifications) and outcome indicators are combined without an explicit vulnerability or adaptive-capacity model.</w:t>
      </w:r>
    </w:p>
    <w:p>
      <w:pPr>
        <w:pStyle w:val="Heading2"/>
        <w:spacing w:after="120" w:before="280"/>
      </w:pPr>
      <w:r>
        <w:t xml:space="preserve">6.3 Shortcomings of the pre-established algorithmic model and measures taken (Annex III point 2(a)(iv); RTS Article 7(2))</w:t>
      </w:r>
    </w:p>
    <w:p>
      <w:pPr>
        <w:spacing w:after="100" w:line="276"/>
      </w:pPr>
      <w:r>
        <w:rPr>
          <w:sz w:val="20"/>
          <w:szCs w:val="20"/>
        </w:rPr>
        <w:t xml:space="preserve">The Index is produced by a pre-established deterministic model with no analyst override, which guarantees reproducibility but means that no expert judgement corrects an anomalous result. Measures taken: (i) admission tests on coverage, polarity and redundancy before an indicator can influence a score; (ii) publication of all inputs, of the indicator catalogue and of the machine-readable methodology so that any result can be traced to its source values; (iii) the annual review includes a sensitivity check of region rankings and bands to alternative weighting (for example weighting groups by indicator count) and to the composition of the smallest groups, and its outcome is recorded in the review record (the effect of the version 1.1 audit on the current data is reproduced in section 8.6); (iv) movements exceeding one band between vintages are manually reviewed before publication; (v) since version 1.1 no sign is inferred by the model — every polarity is a human-signed register entry, and the build stops if an indicator reaches the scoring step without one.</w:t>
      </w:r>
    </w:p>
    <w:p>
      <w:pPr>
        <w:pStyle w:val="Heading2"/>
        <w:spacing w:after="120" w:before="280"/>
      </w:pPr>
      <w:r>
        <w:t xml:space="preserve">6.4 Steps taken to address limitations in data sources (Annex III point 2(b)(v))</w:t>
      </w:r>
    </w:p>
    <w:p>
      <w:pPr>
        <w:pStyle w:val="ListParagraph"/>
        <w:numPr>
          <w:ilvl w:val="0"/>
          <w:numId w:val="1"/>
        </w:numPr>
        <w:spacing w:after="60" w:line="276"/>
      </w:pPr>
      <w:r>
        <w:rPr>
          <w:sz w:val="20"/>
          <w:szCs w:val="20"/>
        </w:rPr>
        <w:t xml:space="preserve">Use of several independent institutional sources per factor, with the latest official release of each.</w:t>
      </w:r>
    </w:p>
    <w:p>
      <w:pPr>
        <w:pStyle w:val="ListParagraph"/>
        <w:numPr>
          <w:ilvl w:val="0"/>
          <w:numId w:val="1"/>
        </w:numPr>
        <w:spacing w:after="60" w:line="276"/>
      </w:pPr>
      <w:r>
        <w:rPr>
          <w:sz w:val="20"/>
          <w:szCs w:val="20"/>
        </w:rPr>
        <w:t xml:space="preserve">Coverage threshold of 15 regions and exclusion, rather than imputation, of incomplete indicators.</w:t>
      </w:r>
    </w:p>
    <w:p>
      <w:pPr>
        <w:pStyle w:val="ListParagraph"/>
        <w:numPr>
          <w:ilvl w:val="0"/>
          <w:numId w:val="1"/>
        </w:numPr>
        <w:spacing w:after="60" w:line="276"/>
      </w:pPr>
      <w:r>
        <w:rPr>
          <w:sz w:val="20"/>
          <w:szCs w:val="20"/>
        </w:rPr>
        <w:t xml:space="preserve">Correlation-based redundancy test so that the same phenomenon measured by two sources does not count twice; cross-provider themes share one group key.</w:t>
      </w:r>
    </w:p>
    <w:p>
      <w:pPr>
        <w:pStyle w:val="ListParagraph"/>
        <w:numPr>
          <w:ilvl w:val="0"/>
          <w:numId w:val="1"/>
        </w:numPr>
        <w:spacing w:after="60" w:line="276"/>
      </w:pPr>
      <w:r>
        <w:rPr>
          <w:sz w:val="20"/>
          <w:szCs w:val="20"/>
        </w:rPr>
        <w:t xml:space="preserve">A documented register of rejected candidates and non-integrable sources (Annex B), reviewed at each vintage as new data become available (for example the Floods Directive hazard-map update and the next European Quality of Government Index round).</w:t>
      </w:r>
    </w:p>
    <w:p>
      <w:pPr>
        <w:pStyle w:val="ListParagraph"/>
        <w:numPr>
          <w:ilvl w:val="0"/>
          <w:numId w:val="1"/>
        </w:numPr>
        <w:spacing w:after="60" w:line="276"/>
      </w:pPr>
      <w:r>
        <w:rPr>
          <w:sz w:val="20"/>
          <w:szCs w:val="20"/>
        </w:rPr>
        <w:t xml:space="preserve">Cell-by-cell comparison of new source editions against the previous ones before use.</w:t>
      </w:r>
    </w:p>
    <w:p>
      <w:pPr>
        <w:pStyle w:val="ListParagraph"/>
        <w:numPr>
          <w:ilvl w:val="0"/>
          <w:numId w:val="1"/>
        </w:numPr>
        <w:spacing w:after="60" w:line="276"/>
      </w:pPr>
      <w:r>
        <w:rPr>
          <w:sz w:val="20"/>
          <w:szCs w:val="20"/>
        </w:rPr>
        <w:t xml:space="preserve">Retirement, through the polarity register, of indicators superseded by a newer edition of the same survey (version 1.1: the 2014 violence-against-women measures replaced by the 2025 survey), and a stale flag with a written reason for every indicator older than the threshold that has no newer edition.</w:t>
      </w:r>
    </w:p>
    <w:p>
      <w:pPr>
        <w:pStyle w:val="ListParagraph"/>
        <w:numPr>
          <w:ilvl w:val="0"/>
          <w:numId w:val="1"/>
        </w:numPr>
        <w:spacing w:after="60" w:line="276"/>
      </w:pPr>
      <w:r>
        <w:rPr>
          <w:sz w:val="20"/>
          <w:szCs w:val="20"/>
        </w:rPr>
        <w:t xml:space="preserve">Conversion of absolute totals to per-inhabitant or per-surface intensities before normalisation, so that the size of a region is not scored as risk (Annex B.8).</w:t>
      </w:r>
    </w:p>
    <w:p>
      <w:pPr>
        <w:pStyle w:val="Heading2"/>
        <w:spacing w:after="120" w:before="280"/>
      </w:pPr>
      <w:r>
        <w:t xml:space="preserve">6.5 Limitations on the information available to the provider (point 1(q))</w:t>
      </w:r>
    </w:p>
    <w:p>
      <w:pPr>
        <w:spacing w:after="100" w:line="276"/>
      </w:pPr>
      <w:r>
        <w:rPr>
          <w:sz w:val="20"/>
          <w:szCs w:val="20"/>
        </w:rPr>
        <w:t xml:space="preserve">The provider relies exclusively on information published by third-party institutions and has no access to non-public regional information, internal plans or management. Rated items are not consulted. The provider is dependent on the release calendars, revision policies and territorial breakdowns of those institutions; where a dataset exists only at national level or in non-machine-readable form it cannot be used (Annex B).</w:t>
      </w:r>
    </w:p>
    <w:p>
      <w:pPr>
        <w:pStyle w:val="Heading1"/>
        <w:spacing w:after="160" w:before="360"/>
      </w:pPr>
      <w:r>
        <w:t xml:space="preserve">7. Engagement with rated items and unsolicited ratings (Annex III, points 2(c), 2(d); RTS Article 4(3)(f))</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00818C" w:sz="12"/>
              <w:left w:val="single" w:color="D1D5DB" w:sz="4"/>
              <w:bottom w:val="single" w:color="D1D5DB" w:sz="4"/>
              <w:right w:val="single" w:color="D1D5DB" w:sz="4"/>
            </w:tcBorders>
            <w:shd w:fill="E6F3F4" w:val="clear"/>
            <w:tcMar>
              <w:top w:type="dxa" w:w="120"/>
              <w:left w:type="dxa" w:w="160"/>
              <w:bottom w:type="dxa" w:w="120"/>
              <w:right w:type="dxa" w:w="160"/>
            </w:tcMar>
          </w:tcPr>
          <w:p>
            <w:pPr>
              <w:spacing w:after="60"/>
            </w:pPr>
            <w:r>
              <w:rPr>
                <w:b/>
                <w:bCs/>
                <w:color w:val="005F66"/>
                <w:sz w:val="20"/>
                <w:szCs w:val="20"/>
              </w:rPr>
              <w:t xml:space="preserve">Unsolicited ESG ratings — prominent statement (Annex III, point 2(d))</w:t>
            </w:r>
          </w:p>
          <w:p>
            <w:pPr>
              <w:spacing w:after="60"/>
            </w:pPr>
            <w:r>
              <w:rPr>
                <w:sz w:val="19"/>
                <w:szCs w:val="19"/>
              </w:rPr>
              <w:t xml:space="preserve">All ratings in the ESG Country Risk — Italy (Regional ESG Risk Index) are unsolicited. None of the rated items (the 20 Italian regions) requested, commissioned or paid for a rating.</w:t>
            </w:r>
          </w:p>
          <w:p>
            <w:pPr>
              <w:spacing w:after="60"/>
            </w:pPr>
            <w:r>
              <w:rPr>
                <w:sz w:val="19"/>
                <w:szCs w:val="19"/>
              </w:rPr>
              <w:t xml:space="preserve">The rated items were not informed before publication, did not participate in the rating process, and did not provide access to management, internal documents or non-public information. The ratings are based exclusively on official statistics and public datasets published by third-party institutions.</w:t>
            </w:r>
          </w:p>
        </w:tc>
      </w:tr>
    </w:tbl>
    <w:p>
      <w:pPr>
        <w:pStyle w:val="Heading2"/>
        <w:spacing w:after="120" w:before="280"/>
      </w:pPr>
      <w:r>
        <w:t xml:space="preserve">7.1 Whether rated items were informed</w:t>
      </w:r>
    </w:p>
    <w:p>
      <w:pPr>
        <w:spacing w:after="100" w:line="276"/>
      </w:pPr>
      <w:r>
        <w:rPr>
          <w:sz w:val="20"/>
          <w:szCs w:val="20"/>
        </w:rPr>
        <w:t xml:space="preserve">Rated items are not informed individually before the publication of a vintage. Publication of a new vintage is announced on the website; the regions can consult their scores, the underlying indicators and source values at any time.</w:t>
      </w:r>
    </w:p>
    <w:p>
      <w:pPr>
        <w:pStyle w:val="Heading2"/>
        <w:spacing w:after="120" w:before="280"/>
      </w:pPr>
      <w:r>
        <w:t xml:space="preserve">7.2 Participation and access to management or internal documents</w:t>
      </w:r>
    </w:p>
    <w:p>
      <w:pPr>
        <w:spacing w:after="100" w:line="276"/>
      </w:pPr>
      <w:r>
        <w:rPr>
          <w:sz w:val="20"/>
          <w:szCs w:val="20"/>
        </w:rPr>
        <w:t xml:space="preserve">None of the rated items participated in the rating process, and no region gave access to its management or to internal documents. Only public information is used.</w:t>
      </w:r>
    </w:p>
    <w:p>
      <w:pPr>
        <w:pStyle w:val="Heading2"/>
        <w:spacing w:after="120" w:before="280"/>
      </w:pPr>
      <w:r>
        <w:t xml:space="preserve">7.3 Engagement process and on-site reviews</w:t>
      </w:r>
    </w:p>
    <w:p>
      <w:pPr>
        <w:spacing w:after="100" w:line="276"/>
      </w:pPr>
      <w:r>
        <w:rPr>
          <w:sz w:val="20"/>
          <w:szCs w:val="20"/>
        </w:rPr>
        <w:t xml:space="preserve">There is no periodic engagement programme and no on-site review, since the Index is built exclusively from published official statistics. A rated item, like any user, may notify the provider of a factual error in the processing of source data through the contact channel below; substantiated errors are corrected under section 4.7 and recorded in the version history. Disagreements with the values published by the source institutions must be addressed to those institutions.</w:t>
      </w:r>
    </w:p>
    <w:p>
      <w:pPr>
        <w:spacing w:after="100" w:line="276"/>
      </w:pPr>
      <w:r>
        <w:rPr>
          <w:sz w:val="20"/>
          <w:szCs w:val="20"/>
          <w:highlight w:val="yellow"/>
          <w:highlightCs w:val="yellow"/>
        </w:rPr>
        <w:t xml:space="preserve">[TO BE COMPLETED BY THE PROVIDER: contact channel (e-mail address and web form) for rated items and users, and the complaints-handling procedure referred to in Article 24]</w:t>
      </w:r>
    </w:p>
    <w:p>
      <w:pPr>
        <w:pStyle w:val="Heading1"/>
        <w:spacing w:after="160" w:before="360"/>
      </w:pPr>
      <w:r>
        <w:t xml:space="preserve">8. Revision of the methodology and updates (Annex III, points 2(a)(v)–(vii), 2(b)(iii), 2(f); RTS Article 8)</w:t>
      </w:r>
    </w:p>
    <w:p>
      <w:pPr>
        <w:pStyle w:val="Heading2"/>
        <w:spacing w:after="120" w:before="280"/>
      </w:pPr>
      <w:r>
        <w:t xml:space="preserve">8.1 Policy for the revision of the methodology (RTS Article 8(1))</w:t>
      </w:r>
    </w:p>
    <w:p>
      <w:pPr>
        <w:pStyle w:val="ListParagraph"/>
        <w:numPr>
          <w:ilvl w:val="0"/>
          <w:numId w:val="1"/>
        </w:numPr>
        <w:spacing w:after="60" w:line="276"/>
      </w:pPr>
      <w:r>
        <w:rPr>
          <w:sz w:val="20"/>
          <w:szCs w:val="20"/>
        </w:rPr>
        <w:t xml:space="preserve">Frequency: the methodology is reviewed at least once a year, in conjunction with the annual data refresh, in line with the principle of Article 15(8) of the Regulation.</w:t>
      </w:r>
    </w:p>
    <w:p>
      <w:pPr>
        <w:pStyle w:val="ListParagraph"/>
        <w:numPr>
          <w:ilvl w:val="0"/>
          <w:numId w:val="1"/>
        </w:numPr>
        <w:spacing w:after="60" w:line="276"/>
      </w:pPr>
      <w:r>
        <w:rPr>
          <w:sz w:val="20"/>
          <w:szCs w:val="20"/>
        </w:rPr>
        <w:t xml:space="preserve">Triggers for an out-of-cycle review: discontinuation or redefinition of a source indicator; a new edition of the ISTAT BES or SDG framework; a change in the NUTS classification; detection of an error in the model; feedback received from users or rated items.</w:t>
      </w:r>
    </w:p>
    <w:p>
      <w:pPr>
        <w:pStyle w:val="ListParagraph"/>
        <w:numPr>
          <w:ilvl w:val="0"/>
          <w:numId w:val="1"/>
        </w:numPr>
        <w:spacing w:after="60" w:line="276"/>
      </w:pPr>
      <w:r>
        <w:rPr>
          <w:sz w:val="20"/>
          <w:szCs w:val="20"/>
        </w:rPr>
        <w:t xml:space="preserve">Process: a written change proposal; an impact assessment recomputing the last vintage under the proposed methodology for all regions; decision by the methodology owner; publication of the revised methodology and change log before the first vintage that uses it.</w:t>
      </w:r>
    </w:p>
    <w:p>
      <w:pPr>
        <w:pStyle w:val="ListParagraph"/>
        <w:numPr>
          <w:ilvl w:val="0"/>
          <w:numId w:val="1"/>
        </w:numPr>
        <w:spacing w:after="60" w:line="276"/>
      </w:pPr>
      <w:r>
        <w:rPr>
          <w:sz w:val="20"/>
          <w:szCs w:val="20"/>
        </w:rPr>
        <w:t xml:space="preserve">Stakeholder consultation: material changes are announced on the website with a comment period before adoption; comments received and the provider's response are summarised in the change log.</w:t>
      </w:r>
    </w:p>
    <w:p>
      <w:pPr>
        <w:pStyle w:val="ListParagraph"/>
        <w:numPr>
          <w:ilvl w:val="0"/>
          <w:numId w:val="1"/>
        </w:numPr>
        <w:spacing w:after="60" w:line="276"/>
      </w:pPr>
      <w:r>
        <w:rPr>
          <w:sz w:val="20"/>
          <w:szCs w:val="20"/>
        </w:rPr>
        <w:t xml:space="preserve">Material-change criteria: a change to the factor weights, to the normalisation method, to the band thresholds, the addition or removal of a thematic group, or any change that moves three or more regions by at least one risk band in the impact assessment.</w:t>
      </w:r>
    </w:p>
    <w:p>
      <w:pPr>
        <w:pStyle w:val="Heading2"/>
        <w:spacing w:after="120" w:before="280"/>
      </w:pPr>
      <w:r>
        <w:t xml:space="preserve">8.2 Upgrades and downgrades caused by material changes (Annex III point 2(a)(vi))</w:t>
      </w:r>
    </w:p>
    <w:p>
      <w:pPr>
        <w:spacing w:after="100" w:line="276"/>
      </w:pPr>
      <w:r>
        <w:rPr>
          <w:sz w:val="20"/>
          <w:szCs w:val="20"/>
        </w:rPr>
        <w:t xml:space="preserve">When a material change is adopted, the provider publishes, with the first vintage under the new methodology, a comparison of the previous vintage recomputed under the old and the new methodology, listing every region whose total or factor band changes and the reason (change of weights, of normalisation, of indicator set, or of data). Users are warned that scores computed under different methodology versions are not comparable; every published score carries the methodology version and the vintage date.</w:t>
      </w:r>
    </w:p>
    <w:p>
      <w:pPr>
        <w:pStyle w:val="Heading2"/>
        <w:spacing w:after="120" w:before="280"/>
      </w:pPr>
      <w:r>
        <w:t xml:space="preserve">8.3 Data updates and revision of historical data (RTS Article 8(3))</w:t>
      </w:r>
    </w:p>
    <w:p>
      <w:pPr>
        <w:spacing w:after="100" w:line="276"/>
      </w:pPr>
      <w:r>
        <w:rPr>
          <w:sz w:val="20"/>
          <w:szCs w:val="20"/>
        </w:rPr>
        <w:t xml:space="preserve">Date of the last data update: 29 September 2026. Policy: see section 4.5. Source revisions of back series are not applied retroactively to published vintages; they enter the next vintage.</w:t>
      </w:r>
    </w:p>
    <w:p>
      <w:pPr>
        <w:pStyle w:val="Heading2"/>
        <w:spacing w:after="120" w:before="280"/>
      </w:pPr>
      <w:r>
        <w:t xml:space="preserve">8.4 Version history (Annex III point 2(a)(vii); RTS Article 8(2))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49"/>
        <w:gridCol w:w="1928"/>
        <w:gridCol w:w="6361"/>
      </w:tblGrid>
      <w:tr>
        <w:trPr>
          <w:cantSplit/>
          <w:tblHeader/>
        </w:trPr>
        <w:tc>
          <w:tcPr>
            <w:tcW w:type="dxa" w:w="1349"/>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Version</w:t>
            </w:r>
          </w:p>
        </w:tc>
        <w:tc>
          <w:tcPr>
            <w:tcW w:type="dxa" w:w="1928"/>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Date</w:t>
            </w:r>
          </w:p>
        </w:tc>
        <w:tc>
          <w:tcPr>
            <w:tcW w:type="dxa" w:w="6361"/>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Description</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0.9</w:t>
            </w:r>
          </w:p>
        </w:tc>
        <w:tc>
          <w:tcPr>
            <w:tcW w:type="dxa" w:w="192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25 September 2026</w:t>
            </w:r>
          </w:p>
        </w:tc>
        <w:tc>
          <w:tcPr>
            <w:tcW w:type="dxa" w:w="636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Prototype methodology used for internal validation and never issued publicly: scores rounded to integers at indicator, group, factor and total level; deduplication by ISTAT indicator code only; single-indicator thematic groups admitted; ties in the ranking broken by source order.</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1.0</w:t>
            </w:r>
          </w:p>
        </w:tc>
        <w:tc>
          <w:tcPr>
            <w:tcW w:type="dxa" w:w="192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27 September 2026</w:t>
            </w:r>
          </w:p>
        </w:tc>
        <w:tc>
          <w:tcPr>
            <w:tcW w:type="dxa" w:w="636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First public edition, prepared under Regulation (EU) 2024/3005 and Delegated Regulation (EU) 2026/871, after a pre-issuance review of the prototype: (i) scores computed and aggregated without intermediate rounding, ranks taken on the unrounded total, exact ties sharing a joint rank (section 5.4); (ii) statistical deduplication — two admitted indicators with |r| ≥ 0.99 are one variable published twice and only one is kept under a documented decision (Annex B.3); (iii) every thematic group must hold at least 2 indicators (Annex B.4). Polarity was still inferred from keyword rules on the indicator name with per-indicator overrides.</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1.2</w:t>
            </w:r>
          </w:p>
        </w:tc>
        <w:tc>
          <w:tcPr>
            <w:tcW w:type="dxa" w:w="192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29 September 2026</w:t>
            </w:r>
          </w:p>
        </w:tc>
        <w:tc>
          <w:tcPr>
            <w:tcW w:type="dxa" w:w="636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Third public edition: administrative performance and climate governance added to the Governance factor, environmental pressures and projected climate hazards to the Environmental factor, and housing and energy hardship to the Social factor. Version 1.1 measured the territory's institutions mostly through outcomes and perceptions; version 1.2 adds what the regional administration itself runs, in three new or extended thematic groups weighted once each: (i) health governance — the Ministry of Health's NSG CORE score of the weakest macro-area (the binding LEA test) and the deficit recovery-plan regime (no plan, plan, plan under a commissario ad acta) on a fixed scale; (ii) public finance and payment discipline — local government debt per inhabitant (Banca d'Italia) and the weighted payment delay to suppliers of the region and its local health entities (MEF-RGS); (iii) EU-funds delivery — the open 2021–2027 regional programmes (interim payments received, EC Cohesion Open Data) and PNRR payment progress on the projects located in the region (ReGiS via OpenPNRR) join the closed 2014–2020 cycle. Municipal councils dissolved for mafia infiltration were fetched and screened (|r| = 0.92 with severe material deprivation, above the duplicate threshold) and are scored in Politica e istituzioni by owner decision of 28 September 2026, an accepted exception disclosed in Annex B.6. (iv) Presentation: the complementary income-adjusted view of version 1.1 (OLS residuals on GDP per capita, former section 5.7 and Annex C.2) is withdrawn from the website and from this document — the correlation of the total with GDP per capita remains disclosed as a limitation (section 6.2) — and every published score is rounded to the nearest integer, ranks staying on the unrounded values (section 5.4). (v) Environmental pressures, in two new thematic groups weighted once each: air quality — PM10 days above the daily limit value, NO2 annual mean and ozone days above the long-term objective in the 109 provincial capitals (ISPRA measurements published by ISTAT for SDG 11.6.2), aggregated to regions as a mean weighted by the population of the province each capital represents; and pollution pressures — Seveso III establishments per million inhabitants (ISPRA-MASE inventory), 2023 anthropogenic emissions of SOx per km² and of NOx and primary PM2.5 per inhabitant (ISPRA provincial inventory) and the share of groundwater stations with mean nitrate at or above 50 mg/l (ISPRA, 2020–2023). The 2015 waste-water treatment share of the BES Ambiente domain is replaced by the Urban Waste Water Treatment Directive reporting on the situation at 31 December 2022 (series chosen under (vi)). Three owner decisions of 28 September 2026 apply one rule, to keep only the most trusted and most recent source (Annex B.6): the greenhouse-gas indicators (emissions per inhabitant and per unit of GDP) move from the EDGAR-based OECD regional series to the ISPRA national inventory (2023; CO2, CH4 and N2O); ozone is kept although |r| = 0.81 with the propensity to patent (ISPRA data as published by ISTAT, 2024); and perceived noise (ISTAT AVQ 2025) is scored in the Ambiente domain although |r| = 0.90 with overcrowded housing, an accepted exception. The NMVOC, PM10 and CO emission series, the upper-tier Seveso count and the PM10 and PM2.5 annual means were fetched and screened but not scored (Annex B); groundwater pesticides and strategic noise maps are not published by region, and the EU-SILC noise item is suppressed for Valle d'Aosta. (vi) Stale series: at the owner's request, the EEA bathing-water classification for the 2025 season (share of coastal and transitional bathing waters of excellent quality, the definition of ISTAT SDG 14, which it reproduces exactly for 2024) replaces both the ISTAT series and the 2019 coastal-bathability share of the BES Ambiente domain; for waste water, the ISPRA treated-load share and the EEA Waterbase share of load receiving compliant secondary treatment come from the same Italian report, so under the owner's sourcing rule (the most recent source and, if equally recent, the most reliable, official and detailed) the Waterbase share, the final quality-checked report at agglomeration and plant level, is scored in place of the ISPRA share, an accepted exception to the duplicate screen (|r| = 0.84 with teenage fertility; Annex B.6); no replacement passing the admission tests was found for the 2016 corruption-request series (ANAC 'Misura la corruzione': context and crime indicators end in 2017, and the single-bid share recomputed for 2025 does not hold within the year) or for the 2018 share of small firms with credit (the Banca d'Italia BDS publishes only the growth of loans to small firms by region), which stay flagged as stale. (vii) Indicators reported as missing (review of 28 September 2026): thirteen candidates were screened against the scored set under the usual admission tests, and a newer or more detailed source was sought for each. Six series in four themes are scored: net land take in 2024 (ISPRA-SNPA) in the Ambiente domain; the projected change between 1995–2014 and 2040–2059 under SSP5-8.5 of days above 35 °C, of the 12-month drought index SPEI and of the wettest day of the year (World Bank Climate Change Knowledge Portal, CMIP6 ensemble median), in a new group of projected climate hazards, the only forward-looking indicators of the rating; the mean energy class of dwellings certified in 2025 for a sale or a rental, read over all ten classes (ENEA SIAPE), in the transition-risk group; and mean indoor radon (ISS-ANPA national survey 1989–1998, the reference of the national radon action plan), in the physical-hazards group, flagged as stale. Not scored (Annex B): deaths attributable to PM2.5 (EEA, |r| = 0.86 with agricultural ammonia emissions), water stress (WRI Aqueduct, 0.88 with English listening skills), the car fleet by Euro class read over all classes (ACI 2025, 0.93 with library use and 0.92 with disposable income), the Farmland Bird Index (17 regions only; 0.84 with views of one's future prospects), the June 2024 ISPRA table of national contaminated sites (a narrower perimeter than the BES series it would replace), ground subsidence (EGMS has no regional product and the ISPRA municipal indicator is compiled from the literature) and E-PRTR and EU ETS plant emissions (a threshold-truncated subset of the ISPRA inventory already scored); Seveso establishments per km² had been set aside earlier in this edition, and coastal erosion stays out by owner decision. (viii) Social indicators reported as missing (review of 28 September 2026): seven candidates were screened under the same tests, and five series are scored. Two outcomes of the AGENAS National Outcomes Programme (PNE 2025, discharges of 2024) join the health-governance group: the share of hip fractures at 65+ operated within 48 hours of arrival (risk-adjusted, by region of residence) and the 30-day mortality after acute myocardial infarction (risk-adjusted; the 2025 edition publishes it by hospital only, so the regional value is the case-weighted mean of the region's hospitals). Eviction orders issued per 1,000 households (Ministry of the Interior, 2023) and households in energy poverty (OIPE 2024, the measure of the national energy and climate plan) join the BES domain Benessere economico; energy poverty is scored by owner decision although |r| = 0.80 with perceived job insecurity (Annex B.6), and Calabria is not scored on evictions because two of its five provinces, with 36% of its residents, returned no orders for 2023. The share of residents of inner areas (municipalities classed intermediate, peripheral or ultra-peripheral by road time to the nearest town with upper-secondary schools, an emergency hospital and a railway station; SNAI map 2020) joins Qualità dei servizi. Not scored (Annex B): occupational-disease claims (INAIL: the regional series reads reporting propensity, with claims per resident ranging 19-fold), the share of inspected firms found irregular (INL: 18 regions, targeted inspections, |r| = 0.82 with intimate-partner violence), gambling spend per inhabitant (ADM: physical network only, 0.86 with renewable electricity), population change over one, five and ten years (0.81–0.84) and the rate of natural change (0.92 with the old-age dependency ratio), net migration (a flow without an ESG sign, like the residence-permit and citizenship series), stroke 30-day mortality (0.83 with mortality from nervous-system diseases at 65+) and the peripheral-only share of inner-area residents (0.80 with drinking-water withdrawals). (ix) Governance indicators reported as missing (review of 29 September 2026): climate governance enters the G factor as a new thematic group weighted once, with one indicator per tier — the share of residents of municipalities covered by a Covenant of Mayors action plan with a 2030 or 2050 target (PAESC, own or joint plan of an active signatory; JRC MyCovenant 6th release, July 2025, joined to the ISTAT municipal population of 1 January 2025) and the stage of the regional adaptation strategy and plan on a fixed scale (strategy and implementation plan 100, strategy 67, formal path started 33, other initiatives only 0; ISPRA sheet of 31 December 2025 on the survey of the Ministry of the Environment, situation at March 2025, which itself groups Abruzzo's plan-only path with the other initiatives; Trentino-Alto Adige weighted from its two provinces). The plan share reads adoption, not implementation (about 40% of the municipalities with a 2030 plan had filed a monitoring report), and plans with the 2020 target only do not count (Milan, Naples, Bari and Venice). Not scored (Annex B): the ANAC procurement red flags (missing award communications is stable but |r| = 0.91 with the unemployment rate; the share of non-open procedures reads the size of municipalities, not risk) and municipal risk indicators (no construct beyond the scored mafia dissolutions and the procurement flags), the non-observed economy as a share of value added (MEF-ISTAT 2022, 0.94 with satisfaction with the continuity of the electricity supply) and the regional tax gaps (maps and charts only), municipalities in financial distress or under a rebalancing plan (0.88 with young people neither in employment nor in education), unfinished public works (MIT, 18 regions, 0.82 with the carbon intensity of GDP), the take-up of the PNRR digital measures and App IO services (voucher take-up and saturated coverage rather than adoption), citizens' e-government use (Eurostat, 0.94 with online banking), the Covenant signatory reach of SDG 13.60 (a pledge, 0.88 with the plan share), controls of AIA installations (regional grain only for the few plants of State competence; no clean sign), EU fines for environmental infringements (no regional allocation) and the Ecomafia offence counts (absolute counts of an NGO compilation; sign ambiguous). (x) Duplicate audit (29 September 2026): every pair of the scored series was re-tested; none reaches the duplicate threshold, and every pair was also read by name for the same measure published under two codes. Seven such pairs were found. Each was resolved under the owner's sourcing rule (Annex B.7), which keeps the more recent series, then the more granular one, then the one matching the official definition (the UN SDG indicator ISTAT files it under) or the primary measurement. On that rule: the NEET rate for ages 15–24 gives way to the BES NEET rate for ages 15–29; weekly internet use at ages 16–74 to internet use at ages 6 and over (UN 17.8.1); bribery requests over three years to the twelve-month recall (UN 16.5.1); schools that are not accessible to accessible schools (UN 4.a.1); the at-risk-of-poverty rate to the multidimensional at-risk-of-poverty-or-social-exclusion rate (UN 1.2.2, one more territorial unit); the renewable share of final energy (2023) to renewable electricity (2024); and the share of residents living in municipalities that meet the separate-collection target to the separate-collection share itself (UN 11.6.1). (xi) Bed capacity (owner ruling, 29 September 2026): bed counts, excluded until then because they carry no agreed ESG sign, are scored as care capacity (higher is better) when they pass the duplicate screen. Eurostat available hospital beds (2024) enters the Social factor (SDG Goal 3) in place of ISTAT ordinary hospital beds, the same Ministry of Health measure one year older (r = 0.98). ISTAT day-hospital beds join it, and beds in high-intensity specialties join the Governance domain 'Qualità dei servizi'. Beds in residential social-care facilities fail the screen (r = 0.90 with satisfaction with the continuity of the electricity service) and stay excluded. Normalisation, weights, aggregation and all other rules are unchanged. Effect on the current data: section 8.6.</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1.1</w:t>
            </w:r>
          </w:p>
        </w:tc>
        <w:tc>
          <w:tcPr>
            <w:tcW w:type="dxa" w:w="192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27 September 2026</w:t>
            </w:r>
          </w:p>
        </w:tc>
        <w:tc>
          <w:tcPr>
            <w:tcW w:type="dxa" w:w="636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Second public edition, after a full audit of the 283 indicators scored in version 1.0. (i) The keyword polarity rules are replaced by a signed polarity register: every indicator that reaches the scoring step needs an entry with a written rationale and two reviewer slots, and the build fails otherwise (section 5.3); 27 signs applied in version 1.0 were found inverted and corrected (Annex B.5), 0 contestable signs are applied as recommended and disclosed for the owner's confirmation (Annex B.6). (ii) Indicator set: absolute totals are converted to per-capita or per-surface intensities before scoring (Annex B.8); economic-level outcomes (GDP, investment, loan default rate), corporate location-risk exposures and totals that duplicate a normalised twin are retired (Annex B.7). (iii) Physical hazards: the ThinkHazard! earthquake, wildfire, heat, drought and volcano classes are replaced by the Civil Protection Department seismic classification (share of residents in zones 1–2) and volcano register, keeping ThinkHazard! only for coastal flood and tsunami. (iv) The 2014 violence-against-women measures are replaced by the 2025 ISTAT survey; every indicator whose latest regional value predates 2020 is flagged as stale with a note on why no newer edition exists (section 6.1). (v) A complementary income-adjusted view (OLS residual of each score on GDP per capita) and collinearity diagnostics are published (section 5.7); narratives describe regions by rank within each factor and no longer compare factor levels. The scores themselves remain min-max, equal-weight, unadjusted. Effect on the current data: section 8.6.</w:t>
            </w:r>
          </w:p>
        </w:tc>
      </w:tr>
    </w:tbl>
    <w:p>
      <w:pPr>
        <w:pStyle w:val="Heading2"/>
        <w:spacing w:after="120" w:before="280"/>
      </w:pPr>
      <w:r>
        <w:t xml:space="preserve">8.5 Major new information about a rated item (Annex III point 2(f))</w:t>
      </w:r>
    </w:p>
    <w:p>
      <w:pPr>
        <w:spacing w:after="100" w:line="276"/>
      </w:pPr>
      <w:r>
        <w:rPr>
          <w:sz w:val="20"/>
          <w:szCs w:val="20"/>
        </w:rPr>
        <w:t xml:space="preserve">The Index is computed from periodic statistics and is not amended between vintages in response to events concerning a rated item (natural disasters, administrative changes, judicial events), because such events are reflected in the scores only when the source institutions publish updated statistics. The only out-of-cycle amendment is the correction of a processing error under section 4.7. Users should therefore treat the Index as a structural, slow-moving assessment and complement it with event monitoring where timeliness matters.</w:t>
      </w:r>
    </w:p>
    <w:p>
      <w:pPr>
        <w:pStyle w:val="Heading2"/>
        <w:spacing w:after="120" w:before="280"/>
      </w:pPr>
      <w:r>
        <w:t xml:space="preserve">8.6 Effect of the version 1.2 changes on the current data (Annex III point 2(a)(vi))</w:t>
      </w:r>
    </w:p>
    <w:p>
      <w:pPr>
        <w:spacing w:after="100" w:line="276"/>
      </w:pPr>
      <w:r>
        <w:rPr>
          <w:sz w:val="20"/>
          <w:szCs w:val="20"/>
        </w:rPr>
        <w:t xml:space="preserve">The current editions of the ISTAT BES and SDG workbooks were scored under methodology 1.1 (253 indicators) and under methodology 1.2 (278 indicators). 13 of 20 regions change rank on the total and 1 change risk band; on the factors, 13 regions change rank on E, 4 on S and 17 on G. The largest change in a total score is +4 points (Sicilia); the second largest −3 points (Trentino-Alto Adige). Scores of version 1.1 were published and remain available in the previous edition of this document; they are not comparable with the scores of version 1.2, and users holding version 1.1 outputs should refer to this table.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8"/>
        <w:gridCol w:w="964"/>
        <w:gridCol w:w="1446"/>
        <w:gridCol w:w="1157"/>
        <w:gridCol w:w="1157"/>
        <w:gridCol w:w="1157"/>
        <w:gridCol w:w="1831"/>
      </w:tblGrid>
      <w:tr>
        <w:trPr>
          <w:cantSplit/>
          <w:tblHeader/>
        </w:trPr>
        <w:tc>
          <w:tcPr>
            <w:tcW w:type="dxa" w:w="1928"/>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Region</w:t>
            </w:r>
          </w:p>
        </w:tc>
        <w:tc>
          <w:tcPr>
            <w:tcW w:type="dxa" w:w="964"/>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Rank</w:t>
            </w:r>
          </w:p>
        </w:tc>
        <w:tc>
          <w:tcPr>
            <w:tcW w:type="dxa" w:w="1446"/>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Total</w:t>
            </w:r>
          </w:p>
        </w:tc>
        <w:tc>
          <w:tcPr>
            <w:tcW w:type="dxa" w:w="1157"/>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E</w:t>
            </w:r>
          </w:p>
        </w:tc>
        <w:tc>
          <w:tcPr>
            <w:tcW w:type="dxa" w:w="1157"/>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S</w:t>
            </w:r>
          </w:p>
        </w:tc>
        <w:tc>
          <w:tcPr>
            <w:tcW w:type="dxa" w:w="1157"/>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G</w:t>
            </w:r>
          </w:p>
        </w:tc>
        <w:tc>
          <w:tcPr>
            <w:tcW w:type="dxa" w:w="1831"/>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Total risk band</w:t>
            </w:r>
          </w:p>
        </w:tc>
      </w:tr>
      <w:tr>
        <w:trPr>
          <w:cantSplit/>
        </w:trPr>
        <w:tc>
          <w:tcPr>
            <w:tcW w:type="dxa" w:w="192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Trentino-Alto Adige</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 → 1</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73 → 70</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72 → 71</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72 → 70</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73 → 69</w:t>
            </w:r>
          </w:p>
        </w:tc>
        <w:tc>
          <w:tcPr>
            <w:tcW w:type="dxa" w:w="183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Low risk → Medium-low risk</w:t>
            </w:r>
          </w:p>
        </w:tc>
      </w:tr>
      <w:tr>
        <w:trPr>
          <w:cantSplit/>
        </w:trPr>
        <w:tc>
          <w:tcPr>
            <w:tcW w:type="dxa" w:w="192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Friuli-Venezia Giulia</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 → 2</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66 → 65</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61 → 61</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67 → 66</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69 → 69</w:t>
            </w:r>
          </w:p>
        </w:tc>
        <w:tc>
          <w:tcPr>
            <w:tcW w:type="dxa" w:w="183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unchanged</w:t>
            </w:r>
          </w:p>
        </w:tc>
      </w:tr>
      <w:tr>
        <w:trPr>
          <w:cantSplit/>
        </w:trPr>
        <w:tc>
          <w:tcPr>
            <w:tcW w:type="dxa" w:w="192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Emilia-Romagna</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4 → 3</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64 → 65</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55 → 52</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66 → 65</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73 → 78</w:t>
            </w:r>
          </w:p>
        </w:tc>
        <w:tc>
          <w:tcPr>
            <w:tcW w:type="dxa" w:w="183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unchanged</w:t>
            </w:r>
          </w:p>
        </w:tc>
      </w:tr>
      <w:tr>
        <w:trPr>
          <w:cantSplit/>
        </w:trPr>
        <w:tc>
          <w:tcPr>
            <w:tcW w:type="dxa" w:w="192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Valle d'Aosta</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3 → 4</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66 → 65</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64 → 63</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70 → 69</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64 → 63</w:t>
            </w:r>
          </w:p>
        </w:tc>
        <w:tc>
          <w:tcPr>
            <w:tcW w:type="dxa" w:w="183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unchanged</w:t>
            </w:r>
          </w:p>
        </w:tc>
      </w:tr>
      <w:tr>
        <w:trPr>
          <w:cantSplit/>
        </w:trPr>
        <w:tc>
          <w:tcPr>
            <w:tcW w:type="dxa" w:w="192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Marche</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6 → 5</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62 → 63</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60 → 60</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63 → 62</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63 → 67</w:t>
            </w:r>
          </w:p>
        </w:tc>
        <w:tc>
          <w:tcPr>
            <w:tcW w:type="dxa" w:w="183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unchanged</w:t>
            </w:r>
          </w:p>
        </w:tc>
      </w:tr>
      <w:tr>
        <w:trPr>
          <w:cantSplit/>
        </w:trPr>
        <w:tc>
          <w:tcPr>
            <w:tcW w:type="dxa" w:w="192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Lombardia</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5 → 6</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64 → 62</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56 → 53</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65 → 63</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70 → 70</w:t>
            </w:r>
          </w:p>
        </w:tc>
        <w:tc>
          <w:tcPr>
            <w:tcW w:type="dxa" w:w="183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unchanged</w:t>
            </w:r>
          </w:p>
        </w:tc>
      </w:tr>
      <w:tr>
        <w:trPr>
          <w:cantSplit/>
        </w:trPr>
        <w:tc>
          <w:tcPr>
            <w:tcW w:type="dxa" w:w="192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Veneto</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9 → 7</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61 → 61</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55 → 53</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64 → 63</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63 → 67</w:t>
            </w:r>
          </w:p>
        </w:tc>
        <w:tc>
          <w:tcPr>
            <w:tcW w:type="dxa" w:w="183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unchanged</w:t>
            </w:r>
          </w:p>
        </w:tc>
      </w:tr>
      <w:tr>
        <w:trPr>
          <w:cantSplit/>
        </w:trPr>
        <w:tc>
          <w:tcPr>
            <w:tcW w:type="dxa" w:w="192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Piemonte</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8 → 8</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61 → 61</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61 → 60</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60 → 59</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62 → 64</w:t>
            </w:r>
          </w:p>
        </w:tc>
        <w:tc>
          <w:tcPr>
            <w:tcW w:type="dxa" w:w="183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unchanged</w:t>
            </w:r>
          </w:p>
        </w:tc>
      </w:tr>
      <w:tr>
        <w:trPr>
          <w:cantSplit/>
        </w:trPr>
        <w:tc>
          <w:tcPr>
            <w:tcW w:type="dxa" w:w="192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Toscana</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7 → 9</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61 → 61</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58 → 57</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60 → 59</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66 → 65</w:t>
            </w:r>
          </w:p>
        </w:tc>
        <w:tc>
          <w:tcPr>
            <w:tcW w:type="dxa" w:w="183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unchanged</w:t>
            </w:r>
          </w:p>
        </w:tc>
      </w:tr>
      <w:tr>
        <w:trPr>
          <w:cantSplit/>
        </w:trPr>
        <w:tc>
          <w:tcPr>
            <w:tcW w:type="dxa" w:w="192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Liguria</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10 → 10</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60 → 60</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61 → 61</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55 → 55</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65 → 64</w:t>
            </w:r>
          </w:p>
        </w:tc>
        <w:tc>
          <w:tcPr>
            <w:tcW w:type="dxa" w:w="183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unchanged</w:t>
            </w:r>
          </w:p>
        </w:tc>
      </w:tr>
      <w:tr>
        <w:trPr>
          <w:cantSplit/>
        </w:trPr>
        <w:tc>
          <w:tcPr>
            <w:tcW w:type="dxa" w:w="192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Umbria</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11 → 11</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58 → 57</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52 → 51</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59 → 58</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63 → 61</w:t>
            </w:r>
          </w:p>
        </w:tc>
        <w:tc>
          <w:tcPr>
            <w:tcW w:type="dxa" w:w="183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unchanged</w:t>
            </w:r>
          </w:p>
        </w:tc>
      </w:tr>
      <w:tr>
        <w:trPr>
          <w:cantSplit/>
        </w:trPr>
        <w:tc>
          <w:tcPr>
            <w:tcW w:type="dxa" w:w="192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Abruzzo</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13 → 12</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54 → 55</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58 → 61</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55 → 54</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49 → 49</w:t>
            </w:r>
          </w:p>
        </w:tc>
        <w:tc>
          <w:tcPr>
            <w:tcW w:type="dxa" w:w="183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unchanged</w:t>
            </w:r>
          </w:p>
        </w:tc>
      </w:tr>
      <w:tr>
        <w:trPr>
          <w:cantSplit/>
        </w:trPr>
        <w:tc>
          <w:tcPr>
            <w:tcW w:type="dxa" w:w="192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Lazio</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12 → 13</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54 → 53</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50 → 50</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56 → 56</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57 → 54</w:t>
            </w:r>
          </w:p>
        </w:tc>
        <w:tc>
          <w:tcPr>
            <w:tcW w:type="dxa" w:w="183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unchanged</w:t>
            </w:r>
          </w:p>
        </w:tc>
      </w:tr>
      <w:tr>
        <w:trPr>
          <w:cantSplit/>
        </w:trPr>
        <w:tc>
          <w:tcPr>
            <w:tcW w:type="dxa" w:w="192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Sardegna</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16 → 14</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48 → 51</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55 → 57</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47 → 47</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42 → 49</w:t>
            </w:r>
          </w:p>
        </w:tc>
        <w:tc>
          <w:tcPr>
            <w:tcW w:type="dxa" w:w="183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unchanged</w:t>
            </w:r>
          </w:p>
        </w:tc>
      </w:tr>
      <w:tr>
        <w:trPr>
          <w:cantSplit/>
        </w:trPr>
        <w:tc>
          <w:tcPr>
            <w:tcW w:type="dxa" w:w="192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Molise</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14 → 15</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51 → 50</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53 → 53</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55 → 54</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46 → 42</w:t>
            </w:r>
          </w:p>
        </w:tc>
        <w:tc>
          <w:tcPr>
            <w:tcW w:type="dxa" w:w="183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unchanged</w:t>
            </w:r>
          </w:p>
        </w:tc>
      </w:tr>
      <w:tr>
        <w:trPr>
          <w:cantSplit/>
        </w:trPr>
        <w:tc>
          <w:tcPr>
            <w:tcW w:type="dxa" w:w="192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Basilicata</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15 → 16</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49 → 49</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55 → 54</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53 → 53</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39 → 39</w:t>
            </w:r>
          </w:p>
        </w:tc>
        <w:tc>
          <w:tcPr>
            <w:tcW w:type="dxa" w:w="183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unchanged</w:t>
            </w:r>
          </w:p>
        </w:tc>
      </w:tr>
      <w:tr>
        <w:trPr>
          <w:cantSplit/>
        </w:trPr>
        <w:tc>
          <w:tcPr>
            <w:tcW w:type="dxa" w:w="192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Puglia</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17 → 17</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46 → 48</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55 → 55</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43 → 43</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39 → 46</w:t>
            </w:r>
          </w:p>
        </w:tc>
        <w:tc>
          <w:tcPr>
            <w:tcW w:type="dxa" w:w="183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unchanged</w:t>
            </w:r>
          </w:p>
        </w:tc>
      </w:tr>
      <w:tr>
        <w:trPr>
          <w:cantSplit/>
        </w:trPr>
        <w:tc>
          <w:tcPr>
            <w:tcW w:type="dxa" w:w="192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Campania</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18 → 18</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39 → 41</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49 → 49</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35 → 37</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33 → 38</w:t>
            </w:r>
          </w:p>
        </w:tc>
        <w:tc>
          <w:tcPr>
            <w:tcW w:type="dxa" w:w="183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unchanged</w:t>
            </w:r>
          </w:p>
        </w:tc>
      </w:tr>
      <w:tr>
        <w:trPr>
          <w:cantSplit/>
        </w:trPr>
        <w:tc>
          <w:tcPr>
            <w:tcW w:type="dxa" w:w="192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Sicilia</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 → 19</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37 → 41</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46 → 46</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34 → 35</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31 → 42</w:t>
            </w:r>
          </w:p>
        </w:tc>
        <w:tc>
          <w:tcPr>
            <w:tcW w:type="dxa" w:w="183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unchanged</w:t>
            </w:r>
          </w:p>
        </w:tc>
      </w:tr>
      <w:tr>
        <w:trPr>
          <w:cantSplit/>
        </w:trPr>
        <w:tc>
          <w:tcPr>
            <w:tcW w:type="dxa" w:w="192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Calabria</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19 → 20</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38 → 40</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51 → 55</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39 → 39</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25 → 26</w:t>
            </w:r>
          </w:p>
        </w:tc>
        <w:tc>
          <w:tcPr>
            <w:tcW w:type="dxa" w:w="183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unchanged</w:t>
            </w:r>
          </w:p>
        </w:tc>
      </w:tr>
    </w:tbl>
    <w:p>
      <w:pPr>
        <w:spacing w:after="100" w:line="276"/>
      </w:pPr>
      <w:r>
        <w:rPr>
          <w:sz w:val="20"/>
          <w:szCs w:val="20"/>
        </w:rPr>
        <w:t xml:space="preserve">Origin of the movements, in order of weight:</w:t>
      </w:r>
    </w:p>
    <w:p>
      <w:pPr>
        <w:pStyle w:val="ListParagraph"/>
        <w:numPr>
          <w:ilvl w:val="0"/>
          <w:numId w:val="1"/>
        </w:numPr>
        <w:spacing w:after="60" w:line="276"/>
      </w:pPr>
      <w:r>
        <w:rPr>
          <w:sz w:val="20"/>
          <w:szCs w:val="20"/>
        </w:rPr>
        <w:t xml:space="preserve">Factor composition — version 1.2 adds series to all three factors; each new thematic group is weighted once within its factor, so every pre-existing group carries a smaller share of its factor than in version 1.1. Governance: health governance (essential levels of care, recovery-plan regime, hip-fracture surgery within 48 hours, 30-day mortality after a heart attack), public finance and payment discipline, EU-funds delivery extended from the closed 2014–2020 cycle to the 2021–2027 programmes and the PNRR, climate governance (municipal climate plans, regional adaptation stage), the share of residents in inner areas and beds in high-intensity specialties. Environment: air quality and pollution pressures, projected climate hazards, net land take, the energy class of dwellings and indoor radon, with the EEA bathing-water and waste-water series and the ISPRA greenhouse-gas inventory replacing older series. Social: eviction orders, energy poverty, and hospital and day-hospital bed capacity. Seven series that repeated another measure under a second code are retired (Annex B.7), so those themes are no longer counted twice.</w:t>
      </w:r>
    </w:p>
    <w:p>
      <w:pPr>
        <w:pStyle w:val="ListParagraph"/>
        <w:numPr>
          <w:ilvl w:val="0"/>
          <w:numId w:val="1"/>
        </w:numPr>
        <w:spacing w:after="60" w:line="276"/>
      </w:pPr>
      <w:r>
        <w:rPr>
          <w:sz w:val="20"/>
          <w:szCs w:val="20"/>
        </w:rPr>
        <w:t xml:space="preserve">Direction of the new information — regions in a health recovery plan, with high local debt per inhabitant, late payments to suppliers, slow EU-funds delivery, polluted air or large projected increases in heat and drought lose score; regions that fulfil the essential levels of care in all three macro-areas, pay early, cover most residents with municipal climate plans, have approved an adaptation strategy or have more hospital beds per inhabitant gain. The movements therefore reflect new data, not a re-reading of existing data.</w:t>
      </w:r>
    </w:p>
    <w:p>
      <w:pPr>
        <w:pStyle w:val="ListParagraph"/>
        <w:numPr>
          <w:ilvl w:val="0"/>
          <w:numId w:val="1"/>
        </w:numPr>
        <w:spacing w:after="60" w:line="276"/>
      </w:pPr>
      <w:r>
        <w:rPr>
          <w:sz w:val="20"/>
          <w:szCs w:val="20"/>
        </w:rPr>
        <w:t xml:space="preserve">Register — the owner's rulings on the judgement-call signs (Annex B.6) and the 13 indicators scored in version 1.1 and retired in version 1.2 (Annex B.7) also move the scores.</w:t>
      </w:r>
    </w:p>
    <w:p>
      <w:pPr>
        <w:pStyle w:val="ListParagraph"/>
        <w:numPr>
          <w:ilvl w:val="0"/>
          <w:numId w:val="1"/>
        </w:numPr>
        <w:spacing w:after="60" w:line="276"/>
      </w:pPr>
      <w:r>
        <w:rPr>
          <w:sz w:val="20"/>
          <w:szCs w:val="20"/>
        </w:rPr>
        <w:t xml:space="preserve">Integrity — municipal councils dissolved for mafia infiltration were fetched and screened but not scored (owner decision, Annex B.6), so they contribute nothing to the table.</w:t>
      </w:r>
    </w:p>
    <w:p>
      <w:pPr>
        <w:pStyle w:val="ListParagraph"/>
        <w:numPr>
          <w:ilvl w:val="0"/>
          <w:numId w:val="1"/>
        </w:numPr>
        <w:spacing w:after="60" w:line="276"/>
      </w:pPr>
      <w:r>
        <w:rPr>
          <w:sz w:val="20"/>
          <w:szCs w:val="20"/>
        </w:rPr>
        <w:t xml:space="preserve">Unchanged — normalisation, equal weights, aggregation order, coverage threshold, deduplication rules, minimum group size and band thresholds are identical in both versions.</w:t>
      </w:r>
    </w:p>
    <w:p>
      <w:pPr>
        <w:pStyle w:val="Heading1"/>
        <w:spacing w:after="160" w:before="360"/>
      </w:pPr>
      <w:r>
        <w:t xml:space="preserve">9. Organisational disclosures (Annex III, points 1(d), 1(l), 1(n); RTS Article 6)</w:t>
      </w:r>
    </w:p>
    <w:p>
      <w:pPr>
        <w:pStyle w:val="Heading2"/>
        <w:spacing w:after="120" w:before="280"/>
      </w:pPr>
      <w:r>
        <w:t xml:space="preserve">9.1 Ownership structure (point 1(d); RTS Article 6(1))</w:t>
      </w:r>
    </w:p>
    <w:p>
      <w:pPr>
        <w:spacing w:after="100" w:line="276"/>
      </w:pPr>
      <w:r>
        <w:rPr>
          <w:sz w:val="20"/>
          <w:szCs w:val="20"/>
        </w:rPr>
        <w:t xml:space="preserve">The Index is issued by Ecomate. </w:t>
      </w:r>
      <w:r>
        <w:rPr>
          <w:sz w:val="20"/>
          <w:szCs w:val="20"/>
          <w:highlight w:val="yellow"/>
          <w:highlightCs w:val="yellow"/>
        </w:rPr>
        <w:t xml:space="preserve">[TO BE COMPLETED BY THE PROVIDER: insert the ownership chart showing the legal entity, its shareholders above 10%, parent undertakings and subsidiaries, and state for each whether it performs any of the activities listed in Article 16(1) of the Regulation (consulting, credit rating, benchmarks, investment or insurance activities, audit, banking)]</w:t>
      </w:r>
    </w:p>
    <w:p>
      <w:pPr>
        <w:pStyle w:val="Heading2"/>
        <w:spacing w:after="120" w:before="280"/>
      </w:pPr>
      <w:r>
        <w:t xml:space="preserve">9.2 Fees and business model (point 1(l); RTS Article 6(2); Article 27)</w:t>
      </w:r>
    </w:p>
    <w:p>
      <w:pPr>
        <w:spacing w:after="100" w:line="276"/>
      </w:pPr>
      <w:r>
        <w:rPr>
          <w:sz w:val="20"/>
          <w:szCs w:val="20"/>
        </w:rPr>
        <w:t xml:space="preserve">At the date of this version the Index is published free of charge on the website, and no rated item pays for its rating: the ratings are unsolicited and the provider does not operate an issuer-pays model.</w:t>
      </w:r>
    </w:p>
    <w:p>
      <w:pPr>
        <w:spacing w:after="100" w:line="276"/>
      </w:pPr>
      <w:r>
        <w:rPr>
          <w:sz w:val="20"/>
          <w:szCs w:val="20"/>
          <w:highlight w:val="yellow"/>
          <w:highlightCs w:val="yellow"/>
        </w:rPr>
        <w:t xml:space="preserve">[TO BE COMPLETED BY THE PROVIDER: confirm the business model (subscription-paid, user-paid services such as data licences or reports, or free of charge), the proportion of revenue derived from each, and the fee criteria applied to any paid service, showing that fees are fair, reasonable, transparent and non-discriminatory and are not dependent on the level of the rating]</w:t>
      </w:r>
    </w:p>
    <w:p>
      <w:pPr>
        <w:pStyle w:val="Heading2"/>
        <w:spacing w:after="120" w:before="280"/>
      </w:pPr>
      <w:r>
        <w:t xml:space="preserve">9.3 Conflicts of interest (point 1(n); RTS Article 6(3))</w:t>
      </w:r>
    </w:p>
    <w:p>
      <w:pPr>
        <w:spacing w:after="100" w:line="276"/>
      </w:pPr>
      <w:r>
        <w:rPr>
          <w:sz w:val="20"/>
          <w:szCs w:val="20"/>
        </w:rPr>
        <w:t xml:space="preserve">Main risks identified: (i) the provider or its owners offering advisory or other services to a rated regional administration or to entities whose interests depend on a region's score; (ii) personal or financial links between persons involved in the methodology and a rated item; (iii) commercial pressure from users to obtain a particular outcome.</w:t>
      </w:r>
    </w:p>
    <w:p>
      <w:pPr>
        <w:spacing w:after="100" w:line="276"/>
      </w:pPr>
      <w:r>
        <w:rPr>
          <w:sz w:val="20"/>
          <w:szCs w:val="20"/>
        </w:rPr>
        <w:t xml:space="preserve">Mitigation: no rated item pays for its rating; the model is deterministic with no analyst discretion over individual scores, and all inputs, code and outputs are published so that any score can be independently reproduced; methodology decisions are taken by the methodology owner separately from commercial functions and are documented; the annual review record includes a conflict-of-interest check.</w:t>
      </w:r>
    </w:p>
    <w:p>
      <w:pPr>
        <w:spacing w:after="100" w:line="276"/>
      </w:pPr>
      <w:r>
        <w:rPr>
          <w:sz w:val="20"/>
          <w:szCs w:val="20"/>
          <w:highlight w:val="yellow"/>
          <w:highlightCs w:val="yellow"/>
        </w:rPr>
        <w:t xml:space="preserve">[TO BE COMPLETED BY THE PROVIDER: list the areas from which conflicts of interest actually arise for the provider (other business lines, shareholders, staff), the persons responsible for the methodology, and the internal policy governing their identification, disclosure and management]</w:t>
      </w:r>
    </w:p>
    <w:p>
      <w:pPr>
        <w:sectPr>
          <w:headerReference w:type="default" r:id="rId7"/>
          <w:footerReference w:type="default" r:id="rId8"/>
          <w:pgSz w:w="11906" w:h="16838" w:orient="portrait"/>
          <w:pgMar w:top="1134" w:right="1134" w:bottom="1134" w:left="1134" w:header="708" w:footer="708" w:gutter="0"/>
          <w:pgNumType/>
          <w:docGrid w:linePitch="360"/>
        </w:sectPr>
      </w:pPr>
    </w:p>
    <w:p>
      <w:pPr>
        <w:pStyle w:val="Heading1"/>
        <w:spacing w:after="160" w:before="360"/>
      </w:pPr>
      <w:r>
        <w:t xml:space="preserve">Annex A — Indicator catalogue (Annex III, points 1(i), 2(a)(ii))</w:t>
      </w:r>
    </w:p>
    <w:p>
      <w:pPr>
        <w:spacing w:after="100" w:line="276"/>
      </w:pPr>
      <w:r>
        <w:rPr>
          <w:sz w:val="20"/>
          <w:szCs w:val="20"/>
        </w:rPr>
        <w:t xml:space="preserve">278 indicators in the current vintage. Polarity "risk" means a higher raw value is scored as higher risk; "safety" means a higher raw value is scored as lower risk, as recorded in the polarity register (section 5.3; the rationale of every entry is published in the indicator catalogue on the website). Coverage is the number of regions with data; year is the most recent reference year used, marked * when it predates 2020 (stale, section 6.1). Units of indicators converted to intensities are the converted units (Annex B.8).</w:t>
      </w:r>
    </w:p>
    <w:tbl>
      <w:tblPr>
        <w:tblW w:type="dxa" w:w="14570"/>
        <w:tblBorders>
          <w:top w:val="single" w:color="auto" w:sz="4"/>
          <w:left w:val="single" w:color="auto" w:sz="4"/>
          <w:bottom w:val="single" w:color="auto" w:sz="4"/>
          <w:right w:val="single" w:color="auto" w:sz="4"/>
          <w:insideH w:val="single" w:color="auto" w:sz="4"/>
          <w:insideV w:val="single" w:color="auto" w:sz="4"/>
        </w:tblBorders>
      </w:tblPr>
      <w:tblGrid>
        <w:gridCol w:w="1457"/>
        <w:gridCol w:w="4371"/>
        <w:gridCol w:w="1311"/>
        <w:gridCol w:w="3205"/>
        <w:gridCol w:w="1020"/>
        <w:gridCol w:w="1748"/>
        <w:gridCol w:w="729"/>
        <w:gridCol w:w="729"/>
      </w:tblGrid>
      <w:tr>
        <w:trPr>
          <w:cantSplit/>
          <w:tblHeader/>
        </w:trPr>
        <w:tc>
          <w:tcPr>
            <w:tcW w:type="dxa" w:w="1457"/>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Id</w:t>
            </w:r>
          </w:p>
        </w:tc>
        <w:tc>
          <w:tcPr>
            <w:tcW w:type="dxa" w:w="4371"/>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Indicator</w:t>
            </w:r>
          </w:p>
        </w:tc>
        <w:tc>
          <w:tcPr>
            <w:tcW w:type="dxa" w:w="1311"/>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Factor</w:t>
            </w:r>
          </w:p>
        </w:tc>
        <w:tc>
          <w:tcPr>
            <w:tcW w:type="dxa" w:w="3205"/>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Thematic group</w:t>
            </w:r>
          </w:p>
        </w:tc>
        <w:tc>
          <w:tcPr>
            <w:tcW w:type="dxa" w:w="1020"/>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Polarity</w:t>
            </w:r>
          </w:p>
        </w:tc>
        <w:tc>
          <w:tcPr>
            <w:tcW w:type="dxa" w:w="1748"/>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Unit</w:t>
            </w:r>
          </w:p>
        </w:tc>
        <w:tc>
          <w:tcPr>
            <w:tcW w:type="dxa" w:w="729"/>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Cov.</w:t>
            </w:r>
          </w:p>
        </w:tc>
        <w:tc>
          <w:tcPr>
            <w:tcW w:type="dxa" w:w="729"/>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Year</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AIR:NO2_MEAN</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NO2 — annual mean concentration in provincial capitals</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Air quality</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µg/m³</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AIR:O3_DAYS</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Ozone — days above the long-term objective (120 µg/m³, 8-hour mean) in provincial capitals</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Air quality</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days per year</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AIR:PM10_DAYS</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PM10 — days above the daily limit value (50 µg/m³) in provincial capitals</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Air quality</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days per year (legal limit: 35)</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AVQ:NOISE</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Households reporting noise as a problem of the area where they live</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Ambiente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 of households</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BES:10AMB003</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Dispersione da rete idrica comunale</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Ambiente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2022</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BES:10AMB004</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Conferimento dei rifiuti urbani in discarica</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Ambiente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BES:10AMB008</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Disponibilità di verde urbano</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Ambiente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M2 per abitante</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BES:10AMB009</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Soddisfazione per la situazione ambientale</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Ambiente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BES:10AMB010</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Siti contaminati</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Ambiente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 1.000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2021</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BES:10AMB011</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Popolazione esposta al rischio di frane</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Ambiente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BES:10AMB012</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Popolazione esposta al rischio di alluvioni</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Ambiente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2020</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BES:10AMB014</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Aree protette</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Ambiente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BES:10AMB015</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Preoccupazione per la perdita di biodiversità</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Ambiente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BES:10AMB016</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Energia elettrica da fonti rinnovabili</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Ambiente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BES:10AMB018</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Impermeabilizzazione del suolo da copertura artificiale</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Ambiente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BES:10AMB020</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Qualità dell'aria - PM2.5</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Ambiente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BES:10AMB023</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Preoccupazione per cambiamenti climatici ed effetto serra</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Ambiente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BES:10AMB024</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Rifiuti urbani prodotti</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Ambiente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Kg per abitante</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BES:10AMB025</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Indice di durata dei periodi di caldo</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Ambiente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Numero di giorni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BES:10AMB026</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Giorni con precipitazione estremamente intensa</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Ambiente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Numero di giorni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BES:10AMB027</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Giorni consecutivi senza pioggia</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Ambiente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Numero di giorni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SUOLO:NET_LAND_TAKE</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Annual net land take: new consumed land net of restorations, per hectare of territory (ISPRA-SNPA, 2024)</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Ambiente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m² of net new consumed land per hectare of territory (change 2023-2024)</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UWWTD:SECONDARY_COMPLIANCE</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Urban waste-water load receiving compliant secondary treatment (share of the load generated by agglomerations of 2,000 p.e. or more)</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Ambiente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 of generated load (population equivalents), situation at 31 Dec 2022</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2022</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EUROSTAT:WOODLAND</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Woodland cover (share of territory classified as woodland, LUCAS survey)</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Biodiversity and land</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 of land area</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2022</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JRC:SOIL_EROSION</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Soil erosion by water (RUSLE2015 mean soil loss, agricultural and natural land)</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Biodiversity and land</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tonnes per hectare per year</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2016 *</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WWF:ECOSYSTEM_DEGRADED</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Ecosystem condition — dependency risk from degraded ecosystems</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Biodiversity and land</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WWF risk score 1 (very low) – 5 (very high)</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2026</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WWF:LAND_USE_CHANGE</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Land, freshwater and sea use change (pressure on biodiversity)</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Biodiversity and land</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WWF risk score 1 (very low) – 5 (very high)</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2026</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WWF:POLLINATION</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Pollination service risk (dependency of crops on wild pollinators under pressure)</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Biodiversity and land</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WWF risk score 1 (very low) – 5 (very high)</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2026</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EMIS:GHG_GDP</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Carbon intensity of GDP (greenhouse-gas emissions per unit of economic output)</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Emissions and transition risk</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tonnes CO2-equivalent per million EUR of GDP (2023)</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EMIS:GHG_PC</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Greenhouse-gas emissions per inhabitant</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Emissions and transition risk</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tonnes CO2-equivalent per inhabitant (2023, CO2 + CH4 + N2O, excluding LULUCF)</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EUROSTAT:ETS_JOBS</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Employment in carbon-intensive sectors (mining, refining, chemicals, cement/glass, metals, power)</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Emissions and transition risk</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 of business-economy employment (NACE B–R)</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SIAPE:MEAN_ENERGY_CLASS</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Mean energy class of dwellings certified for sale or rent, all ten classes (G = 1 to A4 = 10; ENEA SIAPE, 2025)</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Emissions and transition risk</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mean class score, G = 1 to A4 = 10 (residential energy performance certificates issued in 2025 for a sale or a rental)</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GNW:CARBON_SINK</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Forest carbon sink intensity (net GHG removals per hectare of tree cover, 2001–2025 average)</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Forests</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tonnes CO2e removed per hectare per year</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GNW:TCL_RATE</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Tree-cover loss rate (mean annual loss 2021–2025 as share of year-2000 tree cover)</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Forests</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 of 2000 tree-cover extent lost per year</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SDG:10AMB017</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Raccolta differenziata dei rifiuti urbani</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11 — Sustainable cities and communities</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SDG:SDG-223</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Percentuale di persone che vivono in abitazioni sovraffollate</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11 — Sustainable cities and communities</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SDG:SDG-225</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Percentuale di persone che vivono in abitazioni con problemi strutturali o problemi di umidità</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11 — Sustainable cities and communities</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SDG:SDG-236</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Persone di 14-65 anni che hanno subito almeno una molestia a sfondo sessuale negli ultimi 12 mesi</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11 — Sustainable cities and communities</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SDG:SDG-374</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Studenti che si spostano abitualmente per raggiungere il luogo di studio solo con mezzi pubblici</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11 — Sustainable cities and communities</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SDG:SDG-375</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Occupati che si recano abitualmente sul luogo di lavoro solo con mezzi privati</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11 — Sustainable cities and communities</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SDG:SDG-62</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Incidenza delle aree di verde urbano sulla superficie urbanizzata delle città</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11 — Sustainable cities and communities</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M2 per 100 m2 di superficie urbanizzata</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SDG:SDG-115A</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Produzione di rifiuti speciali pericolosi pro capite</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12 — Responsible consumption and production</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Kg per abitante</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SDG:SDG-176</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Incidenza del turismo sui rifiuti</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12 — Responsible consumption and production</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Kg per abitante equivalente</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SDG:SDG-340</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Percentuale di istituzioni pubbliche che adottano forme di rendicontazione sociale e/o ambientale</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12 — Responsible consumption and production</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2022</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SDG:SDG-341</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Percentuale di istituzioni pubbliche che acquistano beni e/o servizi adottando criteri ambientali minimi (CAM), in almeno una procedura di acquisto (Acquisti verdi o Green Public Procurement)</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12 — Responsible consumption and production</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2022</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BWD:EXCELLENT_SHARE</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Coastal and transitional bathing waters of excellent quality (share of all identified sites)</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14 — Life below water</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 of coastal and transitional bathing waters, season 2025</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15</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SDG:SDG-488</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Rifiuti marini spiaggiati</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14 — Life below water</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N. per 100 metri di spiaggia</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15</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SDG:SDG-292</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Frammentazione del territorio naturale e agricolo</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15 — Life on land</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SDG:SDG-453</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Indice di copertura vegetale montana</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15 — Life on land</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SDG:SDG-523</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Quota di territorio affetto da degrado del suolo</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15 — Life on land</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2019 *</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SDG:SDG-168</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Zone umide di importanza internazionale (% della superficie regionale)</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6 — Clean water and sanitation</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 della superficie regionale</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15</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2021</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SDG:SDG-288</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Percentuale di corpi idrici acque superficiali interne (fiumi e laghi) con stato di qualità ecologica elevato o buono</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6 — Clean water and sanitation</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19</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2021</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SDG:SDG-36</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Famiglie che non si fidano di bere l'acqua del rubinetto</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6 — Clean water and sanitation</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SDG:SDG-378</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Prelievo di acqua per uso potabile (per abitante al giorno)</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6 — Clean water and sanitation</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Litri per abitante al giorno</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SDG:SDG-449</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Copertura del servizio pubblico di fognatura</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6 — Clean water and sanitation</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2022</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SDG:SDG-372</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Intensità energetica del settore Industria</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7 — Affordable and clean energy</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Tonnellate equivalenti petrolio (TEP) per milione di euro</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SDG:SDG-376</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Consumi di energia da fonti rinnovabili nel settore termico (in percentuale del consumo finale lordo di energia)</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7 — Affordable and clean energy</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19</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SDG:SDG-377</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Consumi di energia da fonti rinnovabili nel settore trasporti (in percentuale del consumo finale lordo di energia)</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7 — Affordable and clean energy</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19</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SDG:SDG-491</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Quote di mercato delle autovetture elettriche (BEV) e ibride plug-in (PHEV)</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7 — Affordable and clean energy</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SDG:SDG-79</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Intensità energetica</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7 — Affordable and clean energy</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Tonnellate equivalenti petrolio (TEP) per milione di euro</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SDG:SDG-93</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Famiglie molto o abbastanza soddisfatte per la continuità del servizio elettrico</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7 — Affordable and clean energy</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ISPRA:FR_P3P4</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Territory at high landslide hazard (P3+P4)</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Hydrogeological hazard</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 of regional area</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ISPRA:ID_P3</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Territory at high flood hazard (P3)</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Hydrogeological hazard</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 of regional area</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2020</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BES:09PAE001</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Spesa corrente dei Comuni per la cultura</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Paesaggio e patrimonio culturale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Euro pro capite</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BES:09PAE002</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Densità e rilevanza del patrimonio museale</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Paesaggio e patrimonio culturale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Per 100 km2</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2022</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BES:09PAE003</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Abusivismo edilizio</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Paesaggio e patrimonio culturale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 100 costruzioni autorizzate</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2022</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BES:09PAE004</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Erosione dello spazio rurale da dispersione urbana (urban sprawl)</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Paesaggio e patrimonio culturale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17</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2021</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BES:09PAE005</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Erosione dello spazio rurale da abbandono</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Paesaggio e patrimonio culturale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2021</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BES:09PAE006</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Pressione delle attività estrattive</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Paesaggio e patrimonio culturale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M3 per km2</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BES:09PAE007</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Impatto degli incendi boschivi</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Paesaggio e patrimonio culturale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 1.000 km2</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BES:09PAE008</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Diffusione delle aziende agrituristiche</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Paesaggio e patrimonio culturale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Per 100 km2</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BES:09PAE009-N25</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Densità di verde storico</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Paesaggio e patrimonio culturale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 100 m2</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BES:09PAE010</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Insoddisfazione per il paesaggio del luogo di vita</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Paesaggio e patrimonio culturale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BES:09PAE011</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Preoccupazione per il deterioramento del paesaggio</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Paesaggio e patrimonio culturale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DPC:SEISMIC_Z12</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Population in seismic zones 1-2 (share of residents in municipalities with ag &gt; 0.15 g)</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Physical hazards</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 of resident population</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DPC:VOLCANIC</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Volcanic hazard class (Civil Protection register of active and quiescent volcanoes)</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Physical hazards</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hazard class (0 none - 3 high)</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EUROSTAT:CDD</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Cooling degree days (heat exposure)</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Physical hazards</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degree days per year</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RADON:INDOOR_MEAN</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Mean indoor radon concentration in dwellings (national survey 1989-1998, as reported in the national radon action plan 2023-2032)</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Physical hazards</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Bq/m³, arithmetic mean of the surveyed dwellings</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1998 *</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TH:CF</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Coastal flood hazard level</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Physical hazards</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hazard level (0 very low – 3 high)</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2020</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TH:TS</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Tsunami hazard level</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Physical hazards</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hazard level (0 very low – 3 high)</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2020</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EMIS:NOX_PC</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Nitrogen oxides (NO + NO2): emissions per inhabitant</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Pollution pressures</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kg per inhabitant (2023, anthropogenic sources)</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EMIS:PM25_PC</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PM2.5 (primary): emissions per inhabitant</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Pollution pressures</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kg per inhabitant (2023, anthropogenic sources)</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EMIS:SO2_KM2</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Sulphur oxides (SO2 + SO3): emissions per km²</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Pollution pressures</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Mg per km² (2023, anthropogenic sources)</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GW:NITRATES_50</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Groundwater monitoring stations with mean nitrate concentration at or above 50 mg/l (share, 2020-2023)</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Pollution pressures</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 of stations (period mean 2020-2023)</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RIR:SEVESO_PC</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Seveso establishments (upper and lower tier) per million inhabitants</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Pollution pressures</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establishments per million inhabitants</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CCKP:HOT_DAYS_35_CHANGE</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Projected change in hot days (daily maximum above 35 °C) per year, 2040-2059 against 1995-2014 (CMIP6, SSP5-8.5)</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Projected climate hazards</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days per year, change in the CMIP6 ensemble median</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2040-2059 (projection)</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CCKP:RX1DAY_CHANGE</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Projected change in the wettest day of the year (largest 1-day precipitation), 2040-2059 against 1995-2014 (CMIP6, SSP5-8.5)</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Projected climate hazards</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mm, change in the CMIP6 ensemble median</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2040-2059 (projection)</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CCKP:SPEI12_CHANGE</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Projected change in the 12-month Standardised Precipitation-Evapotranspiration Index, 2040-2059 against 1995-2014 (CMIP6, SSP5-8.5; negative = drier)</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Projected climate hazards</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SPEI-12 units, change in the CMIP6 ensemble median (negative = drier)</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2040-2059 (projection)</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ADAPT:REGIONAL_STAGE</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Regional climate-adaptation strategy and plan: stage reached (ISPRA survey 2025)</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Climate governance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stage class (0 other initiatives only, 1 path towards a strategy started, 2 strategy approved, 3 strategy and implementation plan approved)</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GCOM:PLAN_COVERAGE</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Residents of municipalities with a Covenant of Mayors climate action plan to 2030 or 2050 (PAESC), share of the population (JRC MyCovenant, 2025)</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Climate governance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 of resident population</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EC:INTERIM_PAYMENTS_2127</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Cohesion policy 2021-2027: interim payments received on the regional ERDF and ESF+ programmes, share of the planned EU amount</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EU-funds delivery</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 of planned EU amount (net interim payments, pre-financing excluded)</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2026</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OC:ABSORPTION_1420</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Cohesion funds absorption rate (2014-2020 cycle)</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EU-funds delivery</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 of public funding paid out, 2014-2020 programming cycle</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2026</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OC:CONCLUDED_1420</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Cohesion projects concluded (2014-2020 cycle)</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EU-funds delivery</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 of monitored projects concluded or settled, 2014-2020 programming cycle</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2026</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PNRR:PAYMENT_SHARE</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PNRR: payments made as a share of the financing of the projects located in the region</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EU-funds delivery</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 of the total financing (PNRR and other funds) of the attributed projects already paid</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2026</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SDG:SDG-202</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Famiglie che hanno ricevuto richieste di denaro, favori o altro in cambio di facilitazioni o servizi negli ultimi 12 mesi</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16 — Peace, justice and strong institutions</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19</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2016 *</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SDG:SDG-29</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Percentuale di detenuti adulti in attesa di primo giudizio sul totale dei detenuti adulti</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16 — Peace, justice and strong institutions</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SDG:SDG-315</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Giovani e rappresentanza politica in Parlamento</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16 — Peace, justice and strong institutions</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2022</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SDG:SDG-524</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Percentuale di persone con un giudizio positivo sulle anagrafi</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16 — Peace, justice and strong institutions</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SDG:SDG-527</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Minacce contro i giornalisti (per milione di abitanti)</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16 — Peace, justice and strong institutions</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Per milione di abitanti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SDG:SDG-528</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Popolazione non iscritta in anagrafe</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16 — Peace, justice and strong institutions</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 1.000 abitanti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SDG:SDG-33</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Persone di 6 anni e più che hanno usato Internet negli ultimi 3 mesi</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17 — Partnerships for the goals</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SDG:SDG-456</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Persone che hanno ordinato/acquistato beni o servizi per uso privato su internet negli ultimi 3 mesi</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17 — Partnerships for the goals</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SDG:SDG-457</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Persone che hanno effettuato operazioni bancarie on line (internet banking) negli ultimi 3 mesi</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17 — Partnerships for the goals</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SDG:SDG-409</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Percentuale di piccole imprese con almeno un rapporto creditizio</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9 — Industry, innovation and infrastructure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2018 *</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SDG:SDG-455</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Imprese con almeno 10 addetti con vendite via web alle imprese e alle istituzioni pubbliche</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9 — Industry, innovation and infrastructure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SDG:SDG-54</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Percentuale di valore aggiunto delle imprese MHT rispetto al valore aggiunto manifatturiero</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9 — Industry, innovation and infrastructure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SDG:SDG-84</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Ricercatori (in equivalente tempo pieno)</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9 — Industry, innovation and infrastructure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Per 10.000 abitanti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MDS:NSG_CORE_MIN</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Essential levels of care (LEA): Nuovo Sistema di Garanzia CORE score of the weakest macro-area</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Health governance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NSG CORE score, 0-100, of the weakest of the three macro-areas (prevention, district care, hospital care); 60 = sufficiency threshold</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MDS:RECOVERY_PLAN</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Health deficit recovery plan (piano di rientro dal disavanzo sanitario): status of the regional health service</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Health governance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status class (0 none, 1 recovery plan without commissioner, 2 recovery plan under a commissario ad acta)</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2026</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PNE:AMI_MORTALITY_30D</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Acute myocardial infarction: 30-day mortality, risk-adjusted, mean of the region's hospitals weighted by cases (AGENAS PNE, 2024)</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Health governance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 of admissions, risk-adjusted (hospital discharges of 2024)</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PNE:HIP_FRACTURE_48H</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Hip fracture in patients aged 65+: share operated within 48 hours of arrival at the admitting hospital, risk-adjusted (AGENAS PNE, 2024)</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Health governance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 of cases, risk-adjusted, by region of residence (hospital discharges of 2024)</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BES:11RIC001</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Intensità di ricerca</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Innovazione, ricerca e creatività</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BES:11RIC002</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Propensione alla brevettazione</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Innovazione, ricerca e creatività</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Per milione di abitanti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2022</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BES:11RIC003-N22</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Lavoratori della conoscenza</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Innovazione, ricerca e creatività</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 100 occupati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BES:11RIC004</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Innovazione del sistema produttivo</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Innovazione, ricerca e creatività</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2022</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BES:11RIC006-N22</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Occupazione culturale e creativa</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Innovazione, ricerca e creatività</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 100 occupati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BES:11RIC020</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Utenti regolari di internet</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Innovazione, ricerca e creatività</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BES:11RIC021</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Disponibilità in famiglia di almeno un computer e della connessione a Internet</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Innovazione, ricerca e creatività</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BES:11RIC022</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Comuni con servizi per le famiglie interamente online</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Innovazione, ricerca e creatività</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2022</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BES:11RIC023</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Imprese con almeno 10 addetti con vendite via web a clienti finali</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Innovazione, ricerca e creatività</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BES:11RIC025</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Mobilità dei laureati italiani (25-39 anni)</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Innovazione, ricerca e creatività</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Per 1.000 laureati residenti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BES:06POL001</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Partecipazione elettorale</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Politica e istituzioni</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BES:06POL002</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Fiducia nel Parlamento italiano</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Politica e istituzioni</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Valore medio</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BES:06POL003</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Fiducia nel sistema giudiziario</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Politica e istituzioni</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Valore medio</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BES:06POL004</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Fiducia nei partiti</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Politica e istituzioni</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Valore medio</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BES:06POL005</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Fiducia nelle Forze dell'ordine e nei Vigili del fuoco</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Politica e istituzioni</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Valore medio</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BES:06POL006</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Donne e rappresentanza politica in Parlamento</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Politica e istituzioni</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2022</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BES:06POL007</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Donne e rappresentanza politica a livello locale</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Politica e istituzioni</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BES:06POL010</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Età media dei parlamentari italiani</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Politica e istituzioni</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Età media</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2022</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BES:06POL011</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Durata dei procedimenti civili</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Politica e istituzioni</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Numero di giorni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BES:06POL012</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Affollamento degli istituti di pena</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Politica e istituzioni</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EQI:EQI</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European Quality of Government Index</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Politica e istituzioni</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index (EU standardized, higher = better governance)</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MI:MAFIA_DISSOLUTIONS</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Municipal councils dissolved for mafia infiltration (art. 143 TUEL), decrees since 2016 per 100 municipalities</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Politica e istituzioni</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dissolution decrees per 100 municipalities</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2026</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BDI:LOCAL_DEBT</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Local government debt (regions, provinces, municipalities and local health entities), unconsolidated gross Maastricht debt (per abitante)</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Public finance and payment discipline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Euro per abitante</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RGS:PAYMENT_DELAY</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Payment delay to suppliers of the regional administration and its local health entities (weighted by amount paid)</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Public finance and payment discipline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days after (+) or before (-) the legal due date, weighted average</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BES:12SER003</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Anziani trattati in assistenza domiciliare integrata</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Qualità dei servizi</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BES:12SER004</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Difficoltà di accesso ad alcuni servizi</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Qualità dei servizi</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BES:12SER006</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Irregolarità nella distribuzione dell'acqua</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Qualità dei servizi</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BES:12SER007</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Irregolarità del servizio elettrico</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Qualità dei servizi</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Numero medio per utente</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BES:12SER008</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Posti-km offerti dal Tpl</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Qualità dei servizi</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 abitante</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BES:12SER010</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Soddisfazione per i servizi di trasporto pubblico</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Qualità dei servizi</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BES:12SER020</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Copertura della rete fissa di accesso ultra veloce a internet</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Qualità dei servizi</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BES:12SER021</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Utenti assidui dei mezzi pubblici</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Qualità dei servizi</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BES:12SER022</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Posti letto per specialità a elevata assistenza</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Qualità dei servizi</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 10.000 abitanti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BES:12SER025</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Emigrazione ospedaliera in altra regione</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Qualità dei servizi</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BES:12SER026</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Rinuncia a prestazioni sanitarie</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Qualità dei servizi</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BES:12SER027</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Medici di medicina generale con un numero di assistiti oltre soglia</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Qualità dei servizi</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BES:SDG-3</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Medici</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Qualità dei servizi</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 1.000 abitanti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BES:SDG-4</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Infermieri e ostetriche</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Qualità dei servizi</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Per 1.000 abitanti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SNAI:INNER_AREAS</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Residents of inner areas: share of the population living in intermediate, peripheral and ultra-peripheral municipalities (SNAI map 2020)</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Qualità dei servizi</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 of resident population</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2020</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BES:04BEC001</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Reddito disponibile lordo pro capite</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Benessere economico</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Euro (prezzi correnti)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BES:04BEC002</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Disuguaglianza del reddito netto (s80/s20)</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Benessere economico</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Numero puro - rapporto tra redditi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BES:04BEC007-N23</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Grave deprivazione materiale e sociale - Europa 2030</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Benessere economico</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19</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BES:04BEC008</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Grave deprivazione abitativa</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Benessere economico</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BES:04BEC009</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Grande difficoltà ad arrivare a fine mese </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Benessere economico</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BES:04BEC010-N23</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Bassa intensità di lavoro - Europa 2030</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Benessere economico</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19</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BES:SDG-222</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Sovraccarico del costo dell'abitazione</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Benessere economico</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OIPE:ENERGY_POVERTY</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Households in energy poverty (OIPE, 2024)</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Benessere economico</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 of households</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SFRATTI:ORDERS_HH</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Eviction orders issued per 1,000 households (Ministero dell'Interno, 2023)</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Benessere economico</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eviction orders issued in 2023 per 1,000 private households</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19</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BES:08BSO001</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Soddisfazione per la propria vita</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Benessere soggettivo</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BES:08BSO002</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Soddisfazione per il tempo libero</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Benessere soggettivo</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BES:08BSO003</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Giudizio positivo sulle prospettive future</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Benessere soggettivo</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BES:08BSO004</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Giudizio negativo sulle prospettive future</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Benessere soggettivo</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SDG:SDG-251-N23</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Rischio di povertà o di esclusione sociale - Europa 2030</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1 — No poverty</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SDG:SDG-38</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Famiglie che dichiarano difficoltà di collegamento con mezzi pubblici</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1 — No poverty</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SDG:SDG-47</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Tasso di variazione del reddito familiare pro capite per il 40% più povero della popolazione</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10 — Reduced inequalities</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SDG:SDG-67</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Tasso di variazione del reddito familiare pro capite per il totale della popolazione</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10 — Reduced inequalities</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SDG:SDG-13</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Quota di superficie agricola utilizzata investita da coltivazioni biologiche</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2 — Zero hunger</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SDG:SDG-130</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Eccesso di peso o obesità tra i minori da 3 a 17 anni di età</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2 — Zero hunger</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SDG:SDG-250</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Emissioni di ammoniaca prodotte dal settore agricolo (per km2)</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2 — Zero hunger</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Tonnellate per km2 di superficie regionale</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SDG:SDG-326</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Fertilizzanti distribuiti in agricoltura</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2 — Zero hunger</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Kg per ettaro</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SDG:SDG-327</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Prodotti fitosanitari distribuiti in agricoltura</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2 — Zero hunger</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Kg per ettaro</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SDG:SDG-489</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Occupati non regolari in agricoltura, silvicoltura e pesca</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2 — Zero hunger</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EUROSTAT:HOSPITAL_BEDS</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Available beds in hospitals per 10,000 inhabitants</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3 — Good health and well-being</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beds per 10,000 inhabitants</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SDG:SDG-11</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Quozienti specifici di fecondità per età per 1.000 donne tra i 10 e i 14 anni</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3 — Good health and well-being</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Per 1.000 abitanti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SDG:SDG-158</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Tasso standardizzato di mortalità per avvelenamento accidentale</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3 — Good health and well-being</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 100.000 abitanti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SDG:SDG-164</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Domanda di contraccezione soddisfatta con metodi moderni durante gli ultimi 12 mesi</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3 — Good health and well-being</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2019 *</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SDG:SDG-177</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Percentuale dei parti con più di 4 visite di controllo effettuate in gravidanza</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3 — Good health and well-being</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18</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SDG:SDG-178</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Copertura vaccinale antinfluenzale età 65+</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3 — Good health and well-being</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Per 100 abitanti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19</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SDG:SDG-179</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Copertura vaccinale in età pediatrica: polio</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3 — Good health and well-being</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 100 abitanti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SDG:SDG-180</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Copertura vaccinale in età pediatrica: morbillo</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3 — Good health and well-being</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Per 100 abitanti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SDG:SDG-2</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Tasso di mortalità neonatale</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3 — Good health and well-being</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 1.000 nati vivi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SDG:SDG-27</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Tasso di mortalità per incidente stradale</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3 — Good health and well-being</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Per 100.000 abitanti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SDG:SDG-37</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Probabilità di morte sotto i 5 anni</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3 — Good health and well-being</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 1.000 nati vivi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SDG:SDG-404</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Posti letto in day-Hospital negli istituti di cura pubblici e privati</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3 — Good health and well-being</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Per 10.000 abitanti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SDG:SDG-415</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Probabilità di morire tra i 30 ed i 69 anni per tumori, diabete, malattie cardiovascolari e respiratorie</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3 — Good health and well-being</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SDG:SDG-53</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Incidenza delle infezioni da HIV per 100.000 residenti (per regione di residenza)</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3 — Good health and well-being</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Per 100.000 abitanti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SDG:SDG-55</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Quozienti specifici di fecondità per età per 1000 donne tra i 15 e i 19 anni</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3 — Good health and well-being</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 1.000 abitanti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SDG:SDG-8</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Tasso standardizzato di mortalità per suicidio</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3 — Good health and well-being</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Per 100.000 abitanti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SDG:SDG-312</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Comprensione all'ascolto (listening) della lingua inglese non adeguata (studenti classi III scuola secondaria primo grado)</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4 — Quality education</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19</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SDG:SDG-313</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Comprensione della lettura (reading) della lingua inglese non adeguata (studenti classi III scuola secondaria primo grado)</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4 — Quality education</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19</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SDG:SDG-347</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Scuole con alunni con disabilità per presenza postazioni informatiche adattate: scuola primaria</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4 — Quality education</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SDG:SDG-348</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Scuole con alunni con disabilità per presenza postazioni informatiche adattate: scuola secondaria di primo grado</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4 — Quality education</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SDG:SDG-368</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Scuole con alunni con disabilità per presenza postazioni informatiche adattate: scuola secondaria di secondo grado</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4 — Quality education</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SDG:SDG-416</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Posti autorizzati nei servizi socio educativi (asili nido e servizi integrativi per la prima infanzia) per 100 bambini di 0-2 anni</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4 — Quality education</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SDG:SDG-443</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Competenza alfabetica non adeguata (studenti ultima classe scuola secondaria secondo grado)</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4 — Quality education</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19</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SDG:SDG-444</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Competenza numerica non adeguata (studenti ultima classe scuola secondaria secondo grado)</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4 — Quality education</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19</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SDG:SDG-445</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Comprensione all'ascolto (listening) della lingua inglese non adeguata (studenti ultima classe scuola secondaria secondo grado)</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4 — Quality education</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19</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SDG:SDG-446</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Comprensione della lettura (reading) della lingua inglese non adeguata (studenti ultima classe scuola secondaria secondo grado)</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4 — Quality education</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19</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SDG:SDG-468</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Scuole accessibili dal punto di vista fisico</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4 — Quality education</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SDG:SDG-497</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Dispersione implicita (studenti ultima classe scuola secondaria secondo grado)</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4 — Quality education</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19</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SDG:SDG-504</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Competenza alfabetica non adeguata (studenti classi II scuola primaria)</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4 — Quality education</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19</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SDG:SDG-505</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Competenza numerica non adeguata (studenti classi II scuola primaria)</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4 — Quality education</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19</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SDG:SDG-506</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Competenza alfabetica non adeguata (studenti classi V scuola primaria)</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4 — Quality education</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19</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SDG:SDG-507</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Competenza numerica non adeguata (studenti classi V scuola primaria)</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4 — Quality education</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19</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SDG:SDG-508</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Comprensione all'ascolto (listening) della lingua inglese non adeguata (studenti classi V scuola primaria)</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4 — Quality education</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19</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SDG:SDG-509</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Comprensione della lettura (reading) della lingua inglese non adeguata (studenti classi V scuola primaria)</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4 — Quality education</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19</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SDG:SDG-240</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Tasso di abortività volontaria delle donne di 15-49 anni per 1.000 donne</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5 — Gender equality</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 1.000 donne</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SDG:SDG-258</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Proporzione di donne dai 16 ai 75 anni che hanno subito violenza fisica o sessuale da un uomo non partner negli ultimi 5 anni</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5 — Gender equality</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SDG:SDG-307</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Centri antiviolenza e case rifugio: tasso per 100.000 donne di 14 anni e più</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5 — Gender equality</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 100.000 donne</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SDG:SDG-59</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Quota di tempo dedicato al lavoro non retribuito, domestico e di cura</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5 — Gender equality</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2014 *</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SDG:SDG-186</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Numero di sportelli operativi per 100.000 abitanti</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8 — Decent work and economic growth</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 100.000 abitanti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SDG:SDG-39-N22</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Tasso di disoccupazione</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8 — Decent work and economic growth</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SDG:SDG-40</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Consumo materiale interno pro capite</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 8 — Decent work and economic growth</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Tonnellate per abitante</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BES:02IST001</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Partecipazione al sistema scolastico dei bambini di 4-5 anni</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Istruzione e formazione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BES:02IST002-N22</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Persone con almeno il diploma (25-64 anni)</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Istruzione e formazione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BES:02IST004</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Passaggio all'università</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Istruzione e formazione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Tasso specifico di coorte</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BES:02IST005-N22</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Uscita precoce dal sistema di istruzione e formazione</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Istruzione e formazione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BES:02IST006-N22</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Giovani che non lavorano e non studiano (NEET)</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Istruzione e formazione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BES:02IST007-N22</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Partecipazione alla formazione continua</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Istruzione e formazione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BES:02IST020</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Bambini di 0-2 anni iscritti al nido</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Istruzione e formazione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BES:02IST021</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Persone che conseguono un titolo terziario STEM nell'anno</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Istruzione e formazione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 1.000 residenti di 20-29 anni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BES:02IST022</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Partecipazione culturale fuori casa</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Istruzione e formazione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BES:02IST023</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Lettura di libri e quotidiani</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Istruzione e formazione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BES:02IST024</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Fruizione delle biblioteche</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Istruzione e formazione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BES:02IST025</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Competenze digitali almeno di base</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Istruzione e formazione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BES:02IST026-N22</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Laureati e altri titoli terziari (25-34 anni)</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Istruzione e formazione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BES:SDG-310</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Competenza numerica non adeguata (studenti classi III scuola secondaria primo grado)</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Istruzione e formazione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19</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BES:SDG-311</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Competenza alfabetica non adeguata (studenti classi III scuola secondaria primo grado)</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Istruzione e formazione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19</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BES:03LAV001-N22</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Tasso di occupazione (20-64 anni)</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Lavoro e conciliazione dei tempi di vita</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BES:03LAV002-N22</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Tasso di mancata partecipazione al lavoro</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Lavoro e conciliazione dei tempi di vita</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BES:03LAV003</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Trasformazioni da lavori instabili a lavori stabili</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Lavoro e conciliazione dei tempi di vita</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BES:03LAV004-N22</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Occupati in lavori a termine da almeno 5 anni</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Lavoro e conciliazione dei tempi di vita</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BES:03LAV005</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Dipendenti con bassa paga</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Lavoro e conciliazione dei tempi di vita</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2020</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BES:03LAV006-N25</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Occupati sovraistruiti tra i laureati (25-64 anni)</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Lavoro e conciliazione dei tempi di vita</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BES:03LAV007</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Tasso di infortuni sul lavoro mortali e con inabilità permanente</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Lavoro e conciliazione dei tempi di vita</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 10.000 occupati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2022</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BES:03LAV008</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Occupati non regolari</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Lavoro e conciliazione dei tempi di vita</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BES:03LAV009-N22</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Rapporto tra i tassi di occupazione (25-49 anni) delle donne con figli in età prescolare e delle donne senza figli</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Lavoro e conciliazione dei tempi di vita</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BES:03LAV010</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Occupati (15-64 anni) che svolgono più di 60 ore settimanali di lavoro retribuito e/o familiare</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Lavoro e conciliazione dei tempi di vita</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2014 *</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BES:03LAV013-N22</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Percezione di insicurezza dell'occupazione</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Lavoro e conciliazione dei tempi di vita</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BES:03LAV014-N22</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Part time involontario</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Lavoro e conciliazione dei tempi di vita</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BES:03LAV021-N22</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Occupati che lavorano da casa</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Lavoro e conciliazione dei tempi di vita</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BES:03LAV022-N22</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Soddisfazione per il lavoro svolto</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Lavoro e conciliazione dei tempi di vita</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Per 100 occupati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BES:05REL001</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Soddisfazione per le relazioni familiari</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Relazioni sociali</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BES:05REL002</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Soddisfazione per le relazioni amicali</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Relazioni sociali</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BES:05REL003</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Persone su cui contare</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Relazioni sociali</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BES:05REL005</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Partecipazione civica e politica</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Relazioni sociali</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BES:05REL006</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Attività di volontariato</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Relazioni sociali</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BES:05REL007</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Finanziamento delle associazioni</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Relazioni sociali</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BES:05REL008</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Organizzazioni non profit</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Relazioni sociali</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 10.000 abitanti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BES:05REL009</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Fiducia generalizzata</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Relazioni sociali</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BES:05REL010</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Partecipazione sociale</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Relazioni sociali</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BES:01SAL001</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Speranza di vita alla nascita</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Salute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Numero medio di anni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BES:01SAL002</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Speranza di vita in buona salute alla nascita</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Salute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Numero medio di anni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BES:01SAL003</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Indice di salute mentale (MH)</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Salute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Punteggi medi standardizzati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BES:01SAL004</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Mortalità infantile</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Salute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 1.000 nati vivi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2022</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BES:01SAL005</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Mortalità per incidenti stradali (15-34 anni)</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Salute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Tassi standardizzati per 10.000 residenti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BES:01SAL006</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Mortalità per tumore (20-64 anni)</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Salute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Tassi standardizzati per 10.000 residenti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2022</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BES:01SAL007</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Mortalità per demenze e malattie del sistema nervoso (65 anni e più)</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Salute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Tassi standardizzati per 10.000 residenti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2022</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BES:01SAL008</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Speranza di vita senza limitazioni nelle attività a 65 anni</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Salute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Numero medio di anni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BES:01SAL009</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Eccesso di peso (tassi standardizzati)</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Salute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Tassi standardizzati per 100 persone</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BES:01SAL010</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Fumo (tassi standardizzati)</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Salute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Tassi standardizzati per 100 persone</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BES:01SAL011</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Alcol (tassi standardizzati)</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Salute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Tassi standardizzati per 100 persone</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BES:01SAL012</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Sedentarietà (tassi standardizzati)</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Salute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Tassi standardizzati per 100 persone</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BES:01SAL013</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Adeguata alimentazione (tassi standardizzati)</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Salute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Tassi standardizzati per 100 persone</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BES:01SAL020</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Mortalità evitabile (0-74 anni)</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Salute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Tassi standardizzati per 10.000 residenti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2022</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BES:01SAL021</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Multicronicità e limitazioni gravi (75 anni e più)</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Salute</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EUROSTAT:OLD_AGE_DEP</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Old-age dependency ratio (population 65+ per 100 aged 15-64)</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Salute</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 (65+ / 15-64)</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BES:07SIC001</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Omicidi volontari</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Sicurezza</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Per 100.000 abitanti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2024</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BES:07SIC002</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Furti in abitazione</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Sicurezza</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 1.000 famiglie</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BES:07SIC003</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Borseggi</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Sicurezza</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Per 1.000 abitanti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BES:07SIC004</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Rapine</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Sicurezza</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 1.000 abitanti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BES:07SIC007</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Violenza nella coppia</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Sicurezza</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BES:07SIC008</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Preoccupazione di subire una violenza sessuale</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Sicurezza</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BES:07SIC010</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Paura di stare per subire un reato</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Sicurezza</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2023</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BES:07SIC020</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Percezione di sicurezza camminando da soli quando è buio</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Sicurezza</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BES:07SIC021</w:t>
            </w:r>
          </w:p>
        </w:tc>
        <w:tc>
          <w:tcPr>
            <w:tcW w:type="dxa" w:w="43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Presenza di elementi di degrado nella zona in cui si vive</w:t>
            </w:r>
          </w:p>
        </w:tc>
        <w:tc>
          <w:tcPr>
            <w:tcW w:type="dxa" w:w="131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Sicurezza</w:t>
            </w:r>
          </w:p>
        </w:tc>
        <w:tc>
          <w:tcPr>
            <w:tcW w:type="dxa" w:w="102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2025</w:t>
            </w:r>
          </w:p>
        </w:tc>
      </w:tr>
      <w:tr>
        <w:trPr>
          <w:cantSplit/>
        </w:trPr>
        <w:tc>
          <w:tcPr>
            <w:tcW w:type="dxa" w:w="14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BES:07SIC022</w:t>
            </w:r>
          </w:p>
        </w:tc>
        <w:tc>
          <w:tcPr>
            <w:tcW w:type="dxa" w:w="43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Percezione del rischio di criminalità</w:t>
            </w:r>
          </w:p>
        </w:tc>
        <w:tc>
          <w:tcPr>
            <w:tcW w:type="dxa" w:w="131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3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Sicurezza</w:t>
            </w:r>
          </w:p>
        </w:tc>
        <w:tc>
          <w:tcPr>
            <w:tcW w:type="dxa" w:w="102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74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72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2025</w:t>
            </w:r>
          </w:p>
        </w:tc>
      </w:tr>
    </w:tbl>
    <w:p>
      <w:pPr>
        <w:sectPr>
          <w:headerReference w:type="default" r:id="rId9"/>
          <w:footerReference w:type="default" r:id="rId10"/>
          <w:pgSz w:w="11906" w:h="16838" w:orient="landscape"/>
          <w:pgMar w:top="1134" w:right="1134" w:bottom="1134" w:left="1134" w:header="708" w:footer="708" w:gutter="0"/>
          <w:pgNumType/>
          <w:docGrid w:linePitch="360"/>
        </w:sectPr>
      </w:pPr>
    </w:p>
    <w:p>
      <w:pPr>
        <w:pStyle w:val="Heading1"/>
        <w:spacing w:after="160" w:before="360"/>
      </w:pPr>
      <w:r>
        <w:t xml:space="preserve">Annex B — Data-source register: exclusions and non-integrable sources</w:t>
      </w:r>
    </w:p>
    <w:p>
      <w:pPr>
        <w:pStyle w:val="Heading2"/>
        <w:spacing w:after="120" w:before="280"/>
      </w:pPr>
      <w:r>
        <w:t xml:space="preserve">B.1 Indicators excluded from scoring</w:t>
      </w:r>
    </w:p>
    <w:p>
      <w:pPr>
        <w:spacing w:after="100" w:line="276"/>
      </w:pPr>
      <w:r>
        <w:rPr>
          <w:sz w:val="20"/>
          <w:szCs w:val="20"/>
        </w:rPr>
        <w:t xml:space="preserve">74 indicators present in the source files are not scored. Each is re-tested at every vintage.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53"/>
        <w:gridCol w:w="2602"/>
        <w:gridCol w:w="771"/>
        <w:gridCol w:w="1638"/>
        <w:gridCol w:w="3373"/>
      </w:tblGrid>
      <w:tr>
        <w:trPr>
          <w:cantSplit/>
          <w:tblHeader/>
        </w:trPr>
        <w:tc>
          <w:tcPr>
            <w:tcW w:type="dxa" w:w="1253"/>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Id</w:t>
            </w:r>
          </w:p>
        </w:tc>
        <w:tc>
          <w:tcPr>
            <w:tcW w:type="dxa" w:w="2602"/>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Indicator</w:t>
            </w:r>
          </w:p>
        </w:tc>
        <w:tc>
          <w:tcPr>
            <w:tcW w:type="dxa" w:w="771"/>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Source</w:t>
            </w:r>
          </w:p>
        </w:tc>
        <w:tc>
          <w:tcPr>
            <w:tcW w:type="dxa" w:w="1638"/>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Group</w:t>
            </w:r>
          </w:p>
        </w:tc>
        <w:tc>
          <w:tcPr>
            <w:tcW w:type="dxa" w:w="3373"/>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Reason</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BES:04BEC003</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Rischio di povertà</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Benessere economico</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Excluded by the polarity register: At-risk-of-poverty rate: one of the three components of SDG:SDG-251-N23 (at risk of poverty or social exclusion, Europe 2030 definition). Both come from ISTAT EU-SILC, same year (2025), r = 0.988. Retired under the owner's sourcing rule. Recency and source are equal. AROPE is the more granular series, covering the province of Trento, which this series lacks. It is also the multidimensional measure that UN SDG 1.2.2 asks for (poverty in all its dimensions) and the EU 2030 headline target. AROPE stays scored in SDG Goal 1.</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BES:04BEC020</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Situazione economica della famiglia</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Benessere economico</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Excluded by the polarity register: Perception of the household's economic situation: the published series mixes response categories whose sign cannot be verified from the label.</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BES:07SIC005</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Violenza fisica sulle donne</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Sicurezza</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Excluded by the polarity register: Women who suffered physical violence in the last 5 years, from the 2014 ISTAT survey on women's safety. Superseded: the 2025 edition of the same survey is already scored as SDG-258 (physical or sexual violence from a non-partner, last 5 years). The 2014 regional pattern no longer tracks the 2025 one (r = 0.26), so keeping it would add eleven-year-old noise, not a second signal.</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BES:07SIC006</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Violenza sessuale sulle donne</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Sicurezza</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Excluded by the polarity register: Women who suffered sexual violence in the last 5 years, from the 2014 ISTAT survey on women's safety. Superseded by the 2025 edition of the same survey, scored as SDG-258. The 2014 regional pattern is unrelated to the 2025 one (r = -0.06).</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BES:10AMB013</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Trattamento delle acque reflue</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Ambiente</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Excluded by the polarity register: Share of pollution load treated in secondary or advanced waste-water plants (ISTAT water census): higher is better, but the latest regional year is 2015 and the series was flagged as stale in v1.1. Retired in v1.2 in favour of the ISPRA share of the load treated in agglomerations of 2,000 p.e. or more (UWWTD:TREATED_SHARE, Urban Waste Water Treatment Directive reporting on 2022-2023), which measures the same service on current data and took its place in the Ambiente domain. By owner decision of 28 Sep 2026 that place goes to the EEA Waterbase compliance share from the same Italian report (UWWTD:SECONDARY_COMPLIANCE), which also applies the Directive's performance tests.</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BES:10AMB007</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Coste marine balneabili</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Ambiente</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Excluded by the polarity register: Share of marine coast fit for bathing: higher is better, but the latest regional year is 2019 (flagged as stale since v1.1) and no newer regional series exists. Retired at the owner's request of 28 Sep 2026 in favour of the EEA bathing-water classification (BWD:EXCELLENT_SHARE, season 2025), which is updated every season and places every site in its region. The two do not measure the same thing (coast length fit for bathing against the quality class of the identified bathing waters; r = 0.11), so the length-based reading leaves the index rather than being refreshed (see sources not integrable).</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BES:10AMB002</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Consumo materiale interno</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Ambiente</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Excluded by the polarity register: Domestic material consumption in million tonnes is an absolute total that scales with region size; the per-capita measure SDG-40 is kept (UN SDG 12.2.2).</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BES:SDG-405</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Posti letto nei presidi residenziali socio-assistenziali e socio-sanitari</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Qualità dei servizi</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Excluded by the polarity register: Beds in residential social-care and social-health facilities per 10,000 inhabitants (ISTAT survey of residential facilities; 2024 in the ISTAT SDG publication, 2023 in the BES copy). On 29 Sep 2026 the owner ruled that every bed series is scored as care capacity (higher is better) once it passes the duplicate screen. This series fails that screen. Over the 20 regions it correlates at r = 0.904 with SDG:SDG-93 (households satisfied with the continuity of the electricity service), r = 0.880 with SDG:SDG-186 (bank branches per 100,000) and r = -0.858 with BES:12SER007 (electricity service irregularity). It would re-weight the North-South gradient those series already carry rather than add new information, as with tourism intensity (r = 0.87) and the NACE A employment share (r = 0.88), which were rejected on the same rule. It stays excluded.</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BES:12SER024</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Servizio di raccolta differenziata dei rifiuti urbani</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Qualità dei servizi</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Excluded by the polarity register: Separate-collection service: the share of residents living in municipalities that reach the 65% separate-collection target. It is derived from the same ISPRA municipal data as SDG:10AMB017 (share of municipal waste collected separately): same year (2024), all regions, r = 0.934. Retired under the owner's sourcing rule: recency, coverage and source are equal, so the primary measurement beats the threshold-derived series. SDG:10AMB017 is the legal target metric and ISTAT's measure for UN SDG 11.6.1. SDG:10AMB017 stays scored.</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SDG:SDG-12</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Produzione per unità di lavoro delle aziende agricole</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Goal 2</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Excluded by the polarity register: Agricultural output per work unit is a pure productivity outcome (SDG 2.3.1) with no ESG sign of its own; removed for consistency with the economic-outcome rule (review 2). Exclusion confirmed by the owner on 28 Sep 2026.</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SDG:SDG-530</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Parti in un punto nascita pubblico, accreditato o privato</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Goal 3</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Excluded by the polarity register: Births in a public, accredited or private birth centre: a classification of place of birth, no ESG sign.</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SDG:SDG-136</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Numero morti in incidente stradale</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Goal 3</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Excluded by the polarity register: Number of road deaths is an absolute count; the rate per 100,000 (SDG-27) and the BES youth rate (01SAL005) are kept.</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SDG:SDG-403</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Posti letto in degenza ordinaria in istituti di cura pubblici e privati</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Goal 3</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Excluded by the polarity register: Ordinary hospital beds in public and private hospitals per 10,000 inhabitants (ISTAT on Ministry of Health open data; latest 2023). The owner's bed-capacity ruling of 29 Sep 2026 admits bed series, but this one is the same measure as Eurostat hlth_rs_bdsrg2 available hospital beds: same Ministry of Health source, r = 0.982 in 2023, means of 29.9 and 30.4 beds per 10,000. Eurostat already has 2024 for all regions, and the owner's sourcing rule keeps the most up-to-date copy, so EUROSTAT:HOSPITAL_BEDS is scored and this series stays excluded.</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SDG:SDG-5</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Dentisti</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Goal 3</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Excluded by the polarity register: Dentists per capita: largely private supply, weak ESG signal; doctors and nurses (SDG-3, SDG-4) are kept.</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SDG:SDG-390</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Farmacisti</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Goal 3</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Excluded by the polarity register: Pharmacists per capita: weak ESG signal; doctors and nurses are kept.</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SDG:SDG-469</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Scuole non accessibili dal punto di vista fisico</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Goal 4</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Excluded by the polarity register: Schools not physically accessible: the complement of SDG:SDG-468 (accessible schools) in the same ISTAT survey on pupils with disabilities, same year (2025), all regions, r = -0.74. The two series are tails of one distribution, so scoring both counted the theme twice. Retired under the owner's sourcing rule: recency, coverage and source are equal, so the official definition decides. UN SDG 4.a.1 counts the schools that offer the service (adapted infrastructure), which is SDG-468. SDG-468 stays scored.</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SDG:SDG-470</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Donne vittime di violenze segnalate al numero di pubblica utilità contro la violenza e lo stalking 1522</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Goal 5</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Excluded by the polarity register: Women who reported violence to the 1522 helpline per 100,000 women. Reports rise with awareness and trust in the service as well as with prevalence, so the sign is not identifiable; prevalence is measured by BES 07SIC005-007 and SDG-258. Exclusion confirmed by the owner on 28 Sep 2026.</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SDG:SDG-307A</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Centri antiviolenza: tasso per 100.000 donne di 14 anni e più</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Goal 5</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Excluded by the polarity register: Anti-violence centres alone are a component of SDG-307 (centres and shelters), which is kept.</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SDG:SDG-307B</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Case rifugio: tasso per 100.000 donne di 14 anni e più</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Goal 5</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Excluded by the polarity register: Shelters alone are a component of SDG-307 (centres and shelters), which is kept.</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SDG:SDG-342</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Persone di 16-74 anni che hanno usato internet negli ultimi 3 mesi almeno una volta a settimana (incluso tutti i giorni)</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Goal 5</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Excluded by the polarity register: Weekly internet users aged 16-74: the same measure as SDG:SDG-33 (internet use in the last 3 months, aged 6+), same ISTAT survey (Aspetti della vita quotidiana), same year (2025), all regions, r = 0.979. Retired under the owner's sourcing rule: recency, coverage and source are equal, so the official definition decides. SDG-33 is ISTAT's measure for UN SDG 17.8.1 (proportion of individuals using the Internet); this series is filed as a proxy for UN 5.b.1 (mobile-phone ownership by sex) and is published for all persons, so it gives no gender reading. SDG-33 stays scored.</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SDG:SDG-30</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Acqua erogata pro capite</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Goal 6</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Excluded by the polarity register: Water supplied per capita: higher can mean better service or higher consumption and losses; no identifiable sign (abstraction pressure is read through SDG-378).</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SDG:SDG-448</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Acque reflue urbane con trattamento secondario o avanzato</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Goal 6</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Excluded by the polarity register: Number of urban waste-water plants with secondary or advanced treatment is a count that scales with region size; the share of the pollution load treated is scored instead (BES 10AMB013 until v1.1, the ISPRA UWWTD share UWWTD:TREATED_SHARE from v1.2).</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SDG:SDG-58</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Quota di energia da fonti rinnovabili sul consumo finale lordo di energia</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Goal 7</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Excluded by the polarity register: Renewable share of gross final energy consumption (GSE; latest 2023, 21 territorial units). ISTAT files it under the same UN indicator (7.2.1) as BES:10AMB016, renewable electricity (Terna; latest 2024, 22 units), and the regional series move together (r = 0.987). Retired under the owner's sourcing rule: the most up-to-date series wins, and BES:10AMB016 is one year newer and covers one more unit. BES:10AMB016 stays scored.</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SDG:SDG-17</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Tasso di crescita annuo del Pil reale per abitante</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Goal 8</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Excluded by the polarity register: Annual growth of real GDP per inhabitant is a pure economic outcome (Goal 8, mapped to S); removed for consistency with the G rule (review 2). Exclusion confirmed by the owner on 28 Sep 2026.</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SDG:SDG-148</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Numero di ATM per 100.000 abitanti</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Goal 8</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Excluded by the polarity register: ATMs per 100,000: financial-access proxy of marginal ESG relevance; bank branches (SDG-186) are kept.</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SDG:SDG-18</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Tasso di crescita annuo del Pil reale per occupato</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Goal 8</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Excluded by the polarity register: Annual growth of real GDP per worker is a pure economic outcome; removed for consistency with the G rule (review 2). Exclusion confirmed by the owner on 28 Sep 2026.</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SDG:SDG-381</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Tasso di crescita annuo del valore aggiunto in volume per ora lavorata</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Goal 8</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Excluded by the polarity register: Annual growth of value added per hour worked is a pure economic outcome; removed for consistency with the G rule (review 2). Exclusion confirmed by the owner on 28 Sep 2026.</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SDG:SDG-42</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Consumo materiale interno per unità di Pil</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Goal 8</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Excluded by the polarity register: Domestic material consumption per unit of GDP is a second denominator of the same flow; one denominator per flow is kept (per capita, SDG-40).</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SDG:SDG-6-N22</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Giovani che non lavorano e non studiano (NEET) (15-24 anni)</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Goal 8</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Excluded by the polarity register: NEET rate for ages 15-24 (SDG 8.6.1): the same labour-force-survey measure as the BES NEET rate for ages 15-29 (BES:02IST006-N22), same reference year (2025), |r| = 0.965 over the 20 regions, filed in a second Social thematic group (Goal 8), so one theme was scored twice. Retired under the owner's standing sourcing rule: on equal recency the BES publication is kept, which also covers the age band of the EU 2030 target (15-29).</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SDG:SDG-56</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Valore aggiunto dell'industria manifatturiera per abitante</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Goal 9</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Excluded by the polarity register: Manufacturing value added per inhabitant is a pure economic outcome (SDG 9.2.1 level); removed from G (review 2).</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SDG:SDG-72</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Valore aggiunto dell'industria manifatturiera rispetto al totale economia</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Goal 9</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Excluded by the polarity register: Manufacturing share of total value added describes economic structure (industrialisation), not governance quality or ESG risk; removed from G (review 2). Exclusion confirmed by the owner on 28 Sep 2026.</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SDG:SDG-23</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Occupazione nell'industria manifatturiera rispetto al totale economia</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Goal 9</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Excluded by the polarity register: Manufacturing share of total employment describes economic structure, not governance quality or ESG risk; removed from G (review 2). Exclusion confirmed by the owner on 28 Sep 2026.</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SDG:SDG-402</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Quota di valore aggiunto delle piccole imprese manifatturiere sul valore aggiunto manifatturiero totale</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Goal 9</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Excluded by the polarity register: Small manufacturers' share of manufacturing value added: economic structure, no ESG sign.</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SDG:SDG-282</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Permessi emessi per cittadini non Ue</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Goal 10</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Excluded by the polarity register: Residence permits issued to non-EU citizens: migration flow, no ESG sign.</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SDG:SDG-283</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Nuovi permessi rilasciati</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Goal 10</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Excluded by the polarity register: New residence permits: migration flow, no ESG sign.</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SDG:SDG-217</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Acquisizioni di cittadinanza</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Goal 10</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Excluded by the polarity register: Acquisitions of citizenship: migration outcome, no ESG sign.</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SDG:SDG-218</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Quota di permessi rilasciati per asilo politico e motivi umanitari</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Goal 10</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Excluded by the polarity register: Share of permits for asylum and humanitarian reasons: no ESG sign for the region.</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SDG:SDG-115</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Produzione di rifiuti speciali pericolosi</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Goal 12</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Excluded by the polarity register: Hazardous special waste in tonnes is an absolute total that scales with region size; the per-capita measure SDG-115A is kept (UN SDG 12.4.2).</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SDG:SDG-115B</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Produzione di rifiuti speciali pericolosi per unità di Pil</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Goal 12</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Excluded by the polarity register: Hazardous special waste per unit of GDP is a second denominator of the same flow; one denominator per flow is kept (per capita, SDG-115A).</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SDG:SDG-90</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Ammontare di rifiuti urbani oggetto di raccolta differenziata</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Goal 12</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Excluded by the polarity register: Tonnes of separately collected municipal waste is an absolute total; the separate-collection share (10AMB017) is kept.</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SDG:SDG-338</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Indice di intensità turistica</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Goal 12</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Excluded by the polarity register: Tourism intensity: economic asset and environmental pressure at once; the pressure is read through SDG-176 (tourism waste).</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SDG:SDG-338A</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Indice di densità turistica</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Goal 12</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Excluded by the polarity register: Tourism density: same reasoning as SDG-338.</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SDG:SDG-499</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Acque di balneazione con qualità eccellente</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Goal 14</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Excluded by the polarity register: Bathing waters of excellent quality: higher is better. ISTAT derives the series from the EEA site classification: the share of coastal and transitional bathing waters rated excellent over all identified sites reproduces its 2024 values exactly in all 15 coastal regions. Superseded in v1.2 by the same measure read from the primary source one season later (BWD:EXCELLENT_SHARE, season 2025; r = 0.86 between the 2024 and 2025 seasons), under the rule of one source per indicator, the most trusted and the most recent.</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SDG:SDG-235</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Aree marine protette EUAP</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Goal 14</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Insufficient regional coverage (10/20 regions)</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SDG:SDG-306</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Aree marine comprese nella rete Natura 2000</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Goal 14</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Excluded by the polarity register: Marine Natura 2000 area in km2 is an absolute total with no regional marine-area denominator; the five landlocked regions would score 0 for a sea they do not have. Terrestrial protected areas (10AMB014) remain.</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SDG:SDG-202A</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Famiglie che hanno ricevuto richieste di denaro, favori o altro in cambio di facilitazioni o servizi negli ultimi tre anni</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Goal 16</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Excluded by the polarity register: Households asked for money, favours or other in exchange for services over the last 3 years: the same question as SDG:SDG-202 with a longer recall window. Both come from the same ISTAT survey (Sicurezza dei cittadini, 2016) for the same 21 territorial units (r = 0.79). Retired under the owner's sourcing rule: recency, coverage and source are equal, so the official definition decides, and UN SDG 16.5.1 is defined over the previous 12 months, which is SDG-202. The audit had recommended keeping this 3-year version for its larger event counts; the owner's rule overrides that recommendation. SDG-202 stays scored (stale, 2016).</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SDG:SDG-325</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Rimesse verso l'estero degli immigrati in Italia (per abitante)</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Goal 17</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Excluded by the polarity register: Remittances sent abroad by immigrants. Sign ruled by the user in Aug 2026 (Goal 17 development-finance flow, higher is better); published in million euro and scored per inhabitant in v1.1. On 28 Sep 2026 the owner reversed that ruling: remittances measure the earnings of the resident migrant population, not regional governance, so the indicator is excluded from the score.</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SDG:SDG-331</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Rimesse verso l'estero degli immigrati in Italia (composizione percentuale)</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Goal 17</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Excluded by the polarity register: Regional share of national remittances ranks regions like the euro total; superseded by the per-inhabitant scoring of SDG-325.</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OECD:GHG_PC</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Greenhouse-gas emissions per capita</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OECD</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GHG emissions</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Excluded by the polarity register: GHG emissions per capita, higher is worse, from the OECD regional database, which allocates the EDGAR global inventory (JRC) to regions with spatial proxies. Retired in v1.2 by owner decision of 28 Sep 2026 (one source per theme: the most trusted and the most recent): the ISPRA provincial disaggregation of the national inventory, the one Italy submits under the UNFCCC and the EU Governance Regulation, covers the same year (2023) and replaces it as EMIS:GHG_PC. The two per-capita series correlate at r = 0.80 over the 20 regions; the v1.2 review had kept the OECD series and left the choice to the owner.</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OECD:CARBON_INTENSITY</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Carbon intensity of GDP (GHG emissions per unit of economic output)</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OECD</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Transition risk</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Excluded by the polarity register: GHG emissions per unit of GDP, higher is worse: OECD regional GHG totals (EDGAR-based) divided by Eurostat GDP. Retired in v1.2 together with OECD:GHG_PC under the owner decision of 28 Sep 2026 on the greenhouse-gas source (keep only the most trusted and most recent): its numerator is the OECD series, so keeping it would leave two sources on one theme. Replaced by EMIS:GHG_GDP, the ISPRA 2023 totals over the same Eurostat GDP denominator (r = 0.89 between the two).</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EUROSTAT:GDP_PPS</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GDP per capita (purchasing power standards)</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EUROSTAT</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Regional economy</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Excluded by the polarity register: GDP per capita in PPS is a pure economic outcome, not a governance quality. Not scored since v1.1; read only for the collinearity diagnostic of the methodology (correlation of the total with GDP per capita, disclosed as a limitation).</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BDI:DEFAULT_RATE</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Loan default rate (adjusted bad-loan entry rate, total economy)</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BDI</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Credit risk</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Excluded by the polarity register: The loan default rate is a credit-cycle outcome of the regional economy rather than a governance quality; removed from G with the other economic outcomes (review 2).</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EUROSTAT:INVEST_RATE</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Investment rate (gross fixed capital formation as % of GDP)</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EUROSTAT</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Regional economy</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Excluded by the polarity register: Gross fixed capital formation as % of GDP is a pure economic outcome; removed from G with the other economic outcomes (review 2).</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WWF:KBA_EXPOSURE</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Exposure to Key Biodiversity Areas (TNFD sensitive locations)</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WWF</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Biodiversity</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Excluded by the polarity register: BRF 'exposure to Key Biodiversity Areas' encodes the location risk of a company operating near sensitive sites. For a territory the same fact is natural wealth, already read positively through protected areas (10AMB014); scoring it as risk made the two cancel (Abruzzo 100 vs 6). Removed.</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WWF:RAMSAR_EXPOSURE</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Exposure to Wetlands of International Importance (Ramsar sites)</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WWF</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Biodiversity</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Excluded by the polarity register: BRF 'exposure to Ramsar sites' is corporate location risk; for a territory Ramsar wetlands are protected natural capital, read positively through SDG-168. Removed.</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WWF:RANGE_RARITY</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Range rarity — presence of range-restricted and endemic species</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WWF</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Biodiversity</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Excluded by the polarity register: BRF 'range rarity' (endemic and range-restricted species) is corporate location sensitivity; for a territory it is natural wealth, not degradation. Removed.</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AIR:PM10_MEAN</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PM10 — annual mean concentration in provincial capitals</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AIR</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Air quality</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Excluded by the polarity register: Fetched from SDG-293 and screened: r = 0.91 with the PM10 exceedance days of the same capitals. One PM10 measure is enough; the exceedance days are kept because they are the regulatory test.</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AIR:PM25_MEAN</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PM2.5 — annual mean concentration in provincial capitals</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AIR</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Air quality</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Excluded by the polarity register: Fetched from SDG-294 and screened: the PM2.5 theme is already scored by BES 10AMB020 (share of valid PM2.5 measurements above the WHO guideline, regional station data), and the capital-city mean correlates at 0.87 with agricultural ammonia per km² (SDG-250) and 0.82 with soil sealing (10AMB018), above the duplicate threshold. It is also the least complete of the five series (no valid 2022-2024 value for 17 capitals, Basilicata without any).</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RIR:SEVESO_UPPER_PC</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Upper-tier Seveso establishments per million inhabitants</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RIR</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Pollution pressures</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Excluded by the polarity register: Upper-tier subset of the same inventory (safety report and external emergency plan required). Fetched and screened (max |r| 0.68 with concern about biodiversity loss, 10AMB015) but not scored: its establishments are already counted by RIR:SEVESO_PC (r = 0.73 between the two), and scoring both would weight one inventory twice.</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EMIS:NMVOC_PC</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Non-methane volatile organic compounds: emissions per inhabitant</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EMIS</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Pollution pressures</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Excluded by the polarity register: Fetched and screened: |r| 0.83 with overcrowded housing (SDG-223, negative) and 0.74 with renewable energy in transport (SDG-377), above the duplicate threshold; per km² r = 0.92 with soil sealing (10AMB018). NMVOC is also an ozone precursor, a theme read through the ozone days of the Air quality group. Not scored.</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EMIS:PM10_PC</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PM10 (primary): emissions per inhabitant</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EMIS</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Pollution pressures</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Excluded by the polarity register: Fetched and screened: r = 0.97 with primary PM2.5 per inhabitant, the same sources (PM2.5 is most of the PM10 emitted by combustion). One particulate emission measure is enough; PM2.5 is kept for its larger health effect.</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EMIS:CO_PC</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Carbon monoxide: emissions per inhabitant</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EMIS</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Pollution pressures</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Excluded by the polarity register: Fetched and screened: r = 0.98 with primary PM2.5 per inhabitant; in the 2023 inventory both are dominated by residential wood burning. Not scored.</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UWWTD:TREATED_SHARE</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Urban waste-water load treated (share of the load generated by agglomerations of 2,000 p.e. or more)</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UWWTD</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Ambiente</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Excluded by the polarity register: Share of the load (population equivalents) generated by agglomerations of 2,000 p.e. or more that is treated, ISPRA elaboration of the Urban Waste Water Treatment Directive reporting (reference 2022-2023): higher is better. Replaces the 2015 ISTAT water-census share BES 10AMB013, flagged as stale since v1.1 (r = 0.54 between the two: the census counted only secondary or advanced treatment against all urban loads, and seven years of investment separate them), and joins the BES domain Ambiente through the thematic-group registry as 10AMB013 did. Screened: max |r| 0.79 with teenage fertility (SDG-55) and 0.77 with civic and political participation (05REL005), below the threshold. Retired in the same edition by the owner decision of 28 Sep 2026 on the EEA Waterbase compliance share (UWWTD:SECONDARY_COMPLIANCE): the two come from the same Italian report (the Commission's UWWTD 2024 questionnaire, situation at 31 Dec 2022), so neither is more recent, and the Waterbase final version, at agglomeration and plant level with the Directive's performance tests, is the more reliable and detailed source.</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TH:EQ</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Earthquake hazard level</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TH</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Physical risk</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Excluded by the polarity register: ThinkHazard! earthquake class put 17 of 20 regions in one class (Calabria = Lombardia). Replaced by DPC:SEISMIC_Z12.</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TH:WF</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Wildfire hazard level</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TH</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Physical risk</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Excluded by the polarity register: ThinkHazard! wildfire class was 'High' in 18 of 20 regions (Sardegna = Trentino). Wildfire is measured by BES 09PAE007 (burnt area per 1,000 km2).</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TH:DG</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Water scarcity hazard level</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TH</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Physical risk</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Excluded by the polarity register: ThinkHazard! water-scarcity class is a coarse global model output; drought stress is measured by BES 10AMB027 (consecutive dry days).</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TH:EH</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Extreme heat hazard level</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TH</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Physical risk</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Excluded by the polarity register: ThinkHazard! extreme-heat class was identical in 18 of 20 regions. Heat is measured by EUROSTAT:CDD and BES 10AMB025 (heat-wave duration).</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TH:VA</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Volcano hazard level</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TH</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Physical risk</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Excluded by the polarity register: ThinkHazard! volcano class rated Puglia and Molise 'High' (distance buffers). Replaced by DPC:VOLCANIC.</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SDG:SDG-63</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Tasso di partecipazione alle attività educative (scuola dell'infanzia e primo anno della primaria) per i 5-enni</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Goal 4</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Statistical duplicate of BES:02IST001 (|r| = 0.992 over 20 regions): Pre-primary participation of 4-5-year-olds (BES) and participation in organised learning one year before primary school (SDG 4.2.2) come from the same enrolment data and rank regions identically; BES publication kept.</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SDG:SDG-336</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Popolazione esposta al rischio di frane</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Goal 11</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Statistical duplicate of BES:10AMB011 (|r| = 1.000 over 20 regions): Same ISTAT variable (population exposed to landslide risk) published under two indicator codes with the same reference year; BES publication kept.</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SDG:SDG-337</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Popolazione esposta al rischio di alluvioni</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Goal 11</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Statistical duplicate of BES:10AMB012 (|r| = 1.000 over 20 regions): Same ISTAT variable (population exposed to flood risk) published under two indicator codes with the same reference year; BES publication kept.</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SDG:SDG-31</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Efficienza delle reti di distribuzione dell'acqua potabile</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Goal 6</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Statistical duplicate of BES:10AMB003 (|r| = 1.000 over 20 regions): Water-network efficiency is the complement (100 - x) of water-network dispersion: identical information with opposite sign.</w:t>
            </w:r>
          </w:p>
        </w:tc>
      </w:tr>
      <w:tr>
        <w:trPr>
          <w:cantSplit/>
        </w:trPr>
        <w:tc>
          <w:tcPr>
            <w:tcW w:type="dxa" w:w="125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SDG:SDG-266</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Imprese con attività innovative di prodotto e/o processo (per 100 imprese)</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Goal 9</w:t>
            </w:r>
          </w:p>
        </w:tc>
        <w:tc>
          <w:tcPr>
            <w:tcW w:type="dxa" w:w="337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Statistical duplicate of BES:11RIC004 (|r| = 1.000 over 20 regions): BES 'Innovazione del sistema produttivo' is defined as the share of firms with product or process innovation, i.e. the SDG measure under another name.</w:t>
            </w:r>
          </w:p>
        </w:tc>
      </w:tr>
      <w:tr>
        <w:trPr>
          <w:cantSplit/>
        </w:trPr>
        <w:tc>
          <w:tcPr>
            <w:tcW w:type="dxa" w:w="125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SDG:SDG-532</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Copertura vaccinale: tetano</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w:t>
            </w:r>
          </w:p>
        </w:tc>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Goal 3</w:t>
            </w:r>
          </w:p>
        </w:tc>
        <w:tc>
          <w:tcPr>
            <w:tcW w:type="dxa" w:w="337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Statistical duplicate of SDG:SDG-179 (|r| = 0.999 over 19 regions): Paediatric polio and tetanus coverage are both measured on the hexavalent vaccine given at 24 months: one vaccination act under two labels. The polio series is kept because it covers all 20 regions.</w:t>
            </w:r>
          </w:p>
        </w:tc>
      </w:tr>
    </w:tbl>
    <w:p>
      <w:pPr>
        <w:pStyle w:val="Heading2"/>
        <w:spacing w:after="120" w:before="280"/>
      </w:pPr>
      <w:r>
        <w:t xml:space="preserve">B.2 Sources assessed and not integrable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6747"/>
      </w:tblGrid>
      <w:tr>
        <w:trPr>
          <w:cantSplit/>
          <w:tblHeader/>
        </w:trPr>
        <w:tc>
          <w:tcPr>
            <w:tcW w:type="dxa" w:w="2891"/>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Source</w:t>
            </w:r>
          </w:p>
        </w:tc>
        <w:tc>
          <w:tcPr>
            <w:tcW w:type="dxa" w:w="6747"/>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Reason</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Ministero della Salute — Nuovo Sistema di Garanzia (LEA) scores</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Published only as a PDF report (Relazione NSG); the CORE macro-area scores are transcribed into data/raw/nsg-lea-mds.json with page references instead of being fetched here.</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Ministero della Salute — regions in a health deficit recovery plan</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No dataset; the status is curated from the Ministry's 'Piani di rientro' pages and the Tavolo di verifica decisions into data/raw/health-recovery-plans-mds.json.</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MEF-RGS 'Il monitoraggio della spesa sanitaria' — health accounts result (surplus/deficit) by region</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PDF report only, with a different layout each year; the administrative consequence of persistent deficits (recovery plan, commissioner) is scored instead, and funded arrears appear in the local government debt owed to the State.</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BDAP / Corte dei conti — regional budget deficits</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Regional accounts are exposed per body and per year in BDAP without a stable regional deficit series; not integrable as a 20-region indicator with a consistent definition.</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Avviso Pubblico — 'Amministrazioni sciolte per mafia: dati riassuntivi'</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Summary tables restricted to logged-in members; the open WikiMafia register of the same decrees is used instead.</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Italia Domani — PNRR open data (ReGiS extraction)</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Catalogue blocked outside Italy (Akamai); the OpenPNRR API republication of the same extraction is read by scripts/fetch-pnrr-openpnrr.mjs into data/raw/pnrr-openpnrr.json.</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MEF-RGS PCC — municipalities, provinces and metropolitan cities</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Available in the same workbook but not what the regional administration runs; kept out so that the indicator reads the region and its health system only.</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ISPRA pesticides in water (Rapporto nazionale pesticidi nelle acque)</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the tables published with the indicator are national (substances found, monitoring points above the quality standard); the regional breakdown exists only inside the PDF report and ISPRA warns that regional monitoring coverage is too uneven to compare regions</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ISPRA / EIONET population exposed to noise (END strategic noise maps)</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reported by agglomeration and infrastructure for each mapping round (Lden bands), not as a regional series; the regional noise measure is perceived noise from the ISTAT AVQ survey (see the polarity register)</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ISTAT EU-SILC noise from neighbours or from the street (IstatData dataflow 33_291)</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as recent as the AVQ series (2025) but suppressed for Valle d'Aosta in every year and for Trento in 2023 and 2025, and moving by up to ten points a year within a region (Piemonte 19.4 to 9.8 per cent between 2024 and 2025): the AVQ series is kept as the single regional noise source</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ISPRA controlled noise sources with limit exceedances</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the share of controlled sources found above the limits depends on how many inspections each regional agency performs (activity measure, gaps in Sardinia and Molise), not on exposure</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Ministero della Salute — length of coast fit for bathing (BES 10AMB007)</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the length-based share of the coast fit for bathing has no regional update after 2019, and the EEA bathing-water dataset lists identified sites, not coast length; 10AMB007 is retired in favour of the EEA site classification (BWD:EXCELLENT_SHARE, season 2025)</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EU infringement procedures on urban waste water (2014/2059, 2017/2181, C-251/17, C-85/13)</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the only open list of the agglomerations concerned by region is the Commissario unico per la depurazione table dated 1 Dec 2020 (516 agglomerations, 15.2 million p.e.), which predates the 2021 judgment in C-668/19 and the closures since; the Commission's current status is national only (2017/2181: 99 agglomerations and 3.0 million p.e. still non-compliant in 2024; C-251/17: 54 agglomerations, over 5 million p.e.). The 2020 load share would pass the duplicate screen (r = -0.68 with the compliance share) but would score cases that have partly closed; the non-compliance that drives the procedures is scored directly from the current reporting through the Waterbase compliance share (UWWTD:SECONDARY_COMPLIANCE)</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ISPRA-MASE Seveso inventory database (rischioindustriale.isprambiente.it)</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establishment-level extraction unreachable from the build environment; regional counts by tier are read from the ISPRA indicator page and versioned in data/raw/seveso-rir-ispra-2025.json</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EEA premature deaths and years of life lost attributable to PM2.5 (NUTS 2, 2005-2023)</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2023 deaths per 100,000 residents correlate at 0.86 with agricultural ammonia per km² (SDG-250), 0.83 with soil sealing (10AMB018) and 0.80 with the PM2.5 exceedance share already scored (BES 10AMB020); years of life lost rank the regions identically (r = 1.00). The exposure the model converts into health impact is already scored through the Ambiente domain and the Air quality group</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WRI Aqueduct 4.0 water stress, baseline and 2050 projections (provincial units aggregated to regions)</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baseline water stress correlates at 0.88 with students' listening comprehension (SDG-445), the North-South gradient, and is capped at the top score (5.0) for Basilicata, Calabria and Sicily; the 2050 business-as-usual and pessimistic projections repeat the baseline (r = 0.99-1.00) and their change from the baseline correlates at 0.82 with the absorption of 2014-2020 cohesion funds (OC:ABSORPTION_1420). Projected drying is scored through the CMIP6 change in SPEI-12 (CCKP:SPEI12_CHANGE)</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Copernicus European Ground Motion Service (EGMS) and ISPRA municipalities affected by subsidence</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the ISPRA regional table (November 2024) counts the municipalities where subsidence is documented in the literature and in regional studies, so it follows monitoring effort, and ISPRA rates its comparability between regions as insufficient; the measured EGMS InSAR products are distributed as 100 km tiles to registered users only and have no regional aggregate. No admissible regional series exists yet</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ISPRA coastline dynamics (share of the coast in erosion, 2006-2020)</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not scored by owner decision of 28 Sep 2026: an exposure that the five landlocked regions do not have (missing, not zero) and that partly overlaps the coastal-flood class already scored (TH:CF)</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EEA Industrial Reporting database (E-PRTR releases to air, 2024) and EU ETS verified emissions</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plant releases were placed in regions from the facility coordinates (4,176 Italian facility reports for 2024): CO2 per inhabitant correlates at 0.89 with energy intensity (SDG-79) and 0.81 with the carbon intensity of GDP already scored (EMIS:GHG_GDP), and SOx per inhabitant at 0.83 with the energy intensity of industry (SDG-372). ETS verified emissions come from the same large combustion and industrial plants and would duplicate in the same way. NOx, NH3, CH4, NMVOC and CO per inhabitant pass the screen, but they are the point-source part of the ISPRA inventory already scored (EMIS) and are reported only above the E-PRTR thresholds (two Italian plants reported PM10 for 2024), so scoring them would count industrial emissions twice</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ISPRA sites of national interest for remediation (SIN), situation at June 2024</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covers the 42 national sites only (148,594 ha of land), while the scored BES series 10AMB010 (2021) counts more than the current national sites: 1.7 per thousand of the territory in Emilia-Romagna against 0.01 for its one SIN (Fidenza), 18.7 against 0.5 in Friuli-Venezia Giulia for its two (Trieste and Caffaro di Torviscosa). It is a narrower measure, not a newer edition of the same one (r = 0.87 over the 20 regions, 0.48 without Piemonte, the outlier in both series), so the sourcing rule does not apply and 10AMB010 is kept</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ACI Autoritratto 2025: cars by region, fuel and Euro class (June 2026 edition; the 2023 edition, screened first, gave the same result)</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every reading of the whole class distribution follows income: the mean class (Euro 0 = 0 to Euro 6 = 6, all Euro 6 sub-classes as 6, battery-electric cars as 7) correlates at 0.93 with library use (02IST024) and 0.92 with disposable income per head (04BEC001), and at 0.95 with income when the two regions below are left out; the share of Euro 0-3 cars at -0.94 with income; the share of Euro 6 and battery-electric cars at 0.93, and the battery-electric share alone at 0.87, with library use. In Valle d'Aosta and Trentino-Alto Adige the register is inflated by rental and leasing fleets registered there (1,600 and 1,157 cars per 1,000 residents against 566-776 elsewhere)</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Rete Rurale Nazionale / LIPU Farmland Bird Index 2000-2025 (regional reports)</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not computed by the national network for Piemonte, Umbria and Valle d'Aosta, which monitor farmland birds in their own regional projects; over the other 17 regions the 2025 index correlates at -0.84 with positive views of one's future prospects (08BSO003), above the duplicate threshold, and so does the 2024-2025 mean (-0.83)</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Copernicus Climate Data Store, EURO-CORDEX regional climate projections</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downloads require a CDS account and the ensemble is driven by the earlier CMIP5 generation (RCP scenarios); projected climate hazards are read from the World Bank CCKP CMIP6 collection (SSP scenarios, 0.25°, bias-adjusted), which publishes means for the first-level administrative units</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INAIL, occupational disease claims and recognitions by region (Banca dati statistica, 2025)</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the regional series reads reporting propensity rather than disease: claims per 100,000 residents range 19-fold (Sicily 36, Abruzzo 683), recognitions 39-fold, and the share of claims recognised runs from 11% to 55%; harm at work is read by the BES accident rate (03LAV007)</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Ispettorato Nazionale del Lavoro, annual report 2025: share of inspected firms found irregular</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18 regions only (Valle d'Aosta and Trentino-Alto Adige run their own inspectorates), inspections target firms at risk so the share reads targeting as much as irregularity, and it fails the duplicate screen (|r| = 0.82 with intimate-partner violence, BES 07SIC007); undeclared work is read by BES 03LAV008</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Agenzia delle Dogane e dei Monopoli, Libro Blu 2024: gambling spend and wagers per inhabitant</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the regional tables cover the physical network only (online gaming is not allocated to regions); spend per inhabitant fails the duplicate screen (|r| = 0.86 with renewable electricity, BES 10AMB016), and wagers (0.77) measure turnover, most of it paid back as winnings</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Eurostat demo_r_gind3 (ISTAT demography, 2024): population change over one, five and ten years, and natural change</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every horizon fails the duplicate screen: |r| = 0.81 over one year (carbon intensity of GDP, EMIS:GHG_GDP), 0.84 over five years (young graduates' mobility, BES 11RIC025) and 0.84 over ten years (violence against women, SDG-258); the rate of natural change duplicates the old-age dependency ratio (r = -0.92)</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Eurostat demo_r_gind3 (2024): crude rate of net migration, including statistical adjustment</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 migration flow, to which the register gives no ESG sign, as for residence permits and acquisitions of citizenship (Annex B); the part of it that carries a sign, the net mobility of young graduates, is already scored (BES 11RIC025, r = 0.78). It would also sit at the duplicate threshold (|r| = 0.79 with basic digital skills, BES 02IST025)</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AGENAS PNE 2025: ischaemic stroke, 30-day mortality (hospital series, case-weighted regional mean)</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fails the duplicate screen (|r| = 0.83 with mortality from dementia and nervous-system diseases at 65+, BES 01SAL007); the network for time-dependent emergencies is read through acute myocardial infarction</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SNAI map 2020: share of residents in peripheral and ultra-peripheral municipalities only (classes E and F)</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fails the duplicate screen (|r| = 0.80 with drinking-water withdrawals per inhabitant, SDG-378); the inner-area share over classes D, E and F is scored</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ANAC, 'Misura la corruzione': procurement risk indicators (17 red flags by province, 2014-2023)</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no flag is both stable and new. Missing award communications (indicator 7) is stable (r = 0.91 between 2022 and 2023) but fails the duplicate screen (|r| = 0.91 with the unemployment rate, SDG-39-N22, and with electricity-supply irregularity, BES 12SER007); the share of non-open procedures (indicator 2) passes it (0.77) but reads structure rather than risk, with the Alpine regions on top (Trentino-Alto Adige 0.91, Valle d'Aosta 0.89) and r = 0.59 with the share of residents in municipalities under 5,000; the other fifteen flags, single bidding included (r = 0.21 year on year), are unstable at regional level</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ANAC, 'Misura la corruzione': municipal risk indicators (municipalities of 15,000 inhabitants or more, update to 2022)</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adds no new construct: dissolutions for mafia infiltration are scored from the Ministry of the Interior decrees to 2026 (MI:MAFIA_DISSOLUTIONS), bunching below the procurement thresholds duplicates the procurement flags 16-17 (which reach 2023 and are unstable), and resident population and taxable income per head are context covariates</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MEF, Relazione sull'economia non osservata e sull'evasione fiscale e contributiva 2025: non-observed economy by region (2022) and regional tax gaps</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the regional non-observed economy is published as shares of the national total (Tab. II.2.8); its incidence on value added, derived with Eurostat regional GDP (reproducing the report's 19.1 per cent for Calabria and 7.7 for Bolzano), fails the duplicate screen (|r| = 0.94 with satisfaction with the continuity of the electricity supply, SDG-93, and 0.93 with inadequate English listening skills, SDG-445). The IRAP gap is published only as a quartile map (2018-2022 average), the IMU gap as charts and the gap on regional and municipal income-tax surcharges nationally, so no regional tax-gap series can be read</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Ministero dell'Interno, DAIT circolare n. 52 of 26 May 2026: municipalities in financial distress (dissesto), structurally deficient or under a multi-year rebalancing plan (status 2023)</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the share of residents in municipalities under any of these regimes fails the duplicate screen (|r| = 0.88 with young people neither in employment nor in education, BES 02IST006-N22, and with the at-risk-of-poverty rate, 04BEC003); dissesto alone 0.86 (age-specific fertility, SDG-55) and rebalancing plans alone 0.89 (overweight children, SDG-130). It correlates at 0.39 with the scored local debt per inhabitant</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MIT, Anagrafe delle opere pubbliche incompiute (reference year 2023, published 30 June 2024)</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18 regions only (Valle d'Aosta and Trentino-Alto Adige transmit no list) and 265 works nationally, so the regional rates rest on small numbers; unfinished works per 100,000 residents fail the duplicate screen (|r| = 0.82 with the carbon intensity of GDP, EMIS:GHG_GDP) and so does the cost to complete per inhabitant (0.82 with drinking-water withdrawals, SDG-378). The 2025 edition exists only as 21 separate regional publications with no consolidated file</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Dipartimento per la trasformazione digitale, PA digitale 2026 open data: municipal applications funded under the PNRR digital measures (SPID/CIE, pagoPA, App IO)</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reads take-up of the PNRR vouchers, not adoption: regions whose in-house ICT companies had connected their municipalities before the PNRR score lowest (Friuli-Venezia Giulia SPID/CIE 0.5 per cent, Trentino-Alto Adige pagoPA 38 per cent); completion of funded projects runs 89-100 per cent (no variance) and reads PNRR delivery, which PNRR:PAYMENT_SHARE scores</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PagoPA S.p.A., App IO public catalogue of services (16,076 organisations) and pagoPA / SPID platform statistics</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95.9-100 per cent of the municipalities of every region offer at least one IO service (saturated); the number of services per municipality follows the PNRR voucher packages of template services and correlates at +0.62 with the length of civil trials, the wrong sign for a quality reading. pagoPA and SPID statistics have no regional breakdown</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Eurostat isoc_r_gov_i: individuals using the internet to interact with public authorities (NUTS 2, 2023-2025)</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fails the duplicate screen in every year (|r| = 0.94 with online banking, SDG-457, with disposable income per head, 04BEC001, and with basic digital skills, 02IST025): it reads citizens' digital literacy, not the supply of public services; the BES online-services measure (11RIC022, 2022) stays</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JRC MyCovenant 6th release: residents of municipalities that signed the Covenant's 2030 or 2050 commitment (the signatory reach of Eurostat sdg_13_60, published nationally only)</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 pledge rather than a plan: Milan, Venice and Cagliari signed the 2030 commitment with only a 2020 plan on file, and the reach correlates at 0.88 with the scored share of residents covered by a 2030 or 2050 plan (GCOM:PLAN_COVERAGE)</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ISPRA / SNPA, controls of installations under integrated environmental authorisation (AIA)</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ISPRA's regional-grade series covers only the installations of State competence (2025: 133 plants, 69 inspected, 18 non-compliant), a handful per region and not regional governance; the ARPA controls of the 6,463 installations of regional competence are published only as national totals (2024: 1,771 inspections). Inspection frequency follows risk-based plans (art. 29-decies D.Lgs. 152/2006), so neither coverage nor the non-compliance share has a clean sign</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Court of Justice of the EU, financial penalties on Italy for environmental infringements (landfills C-196/13, Campania waste C-653/13, urban waste water C-565/10, C-251/17, C-668/19)</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no regional allocation series: recovery from the regions responsible (art. 43 L. 234/2012) runs through case-by-case decrees. The underlying pressures are scored with current data: landfilled urban waste (BES 10AMB004, 2024) and waste-water treatment compliance (UWWTD:SECONDARY_COMPLIANCE, EEA Waterbase)</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Legambiente, Rapporto Ecomafia 2025 (environmental offences detected in 2024)</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an NGO compilation of police records ranked by absolute counts, with the full regional table only in the printed report; detected offences read enforcement effort as much as prevalence, so the sign is ambiguous. The largest chain, illegal building (34 per cent of offences), is scored as BES 09PAE003 and fires as BES 09PAE007</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UIF — suspicious transaction reports (AML)</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Quaderni dell'antiriciclaggio publish regional SOS data as PDF only, no structured download</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Eurostat regional business demography</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bd_*_r3 datasets discontinued at reference year 2020 — too stale to mix with 2023-2026 data</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ISTAT SDMX mafia-type offenses (DCCV_DELITTIPS)</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sdmx.istat.it / esploradati.istat.it endpoints unreachable from the build environment</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Legambiente Ecosistema Urbano</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PDF report only, no structured data</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EEA air-quality exceedance days</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station-level parquet API requiring heavy aggregation; the same ISPRA measurements reach the score through ISTAT (BES PM2.5 exceedance share, SDG 11.6.2 capital-city series aggregated in v1.2)</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INAIL workplace accidents</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new dati.inail.it portal is JS-only without stable file URLs; fatal workplace accidents already covered by ISTAT BES</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ANAC 'Misura la corruzione' — context and crime indicators</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province-level series 2014-2017 only (methodological sheet, June 2024 update): no fresher than the stale ISTAT corruption-request series they would replace (SDG-202, SDG-202A, 2016), and the context domains (education, economy, social capital, crime) restate themes already scored through the BES domains</w:t>
            </w:r>
          </w:p>
        </w:tc>
      </w:tr>
      <w:tr>
        <w:trPr>
          <w:cantSplit/>
        </w:trPr>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ANAC 'Misura la corruzione' — red flag 9, single-bid share (recomputed from the ANAC contract database for 2025)</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computed as the portal defines it (procedures with one bid submitted and admitted over awarded procedures) on the 231,470 competitive 2025 lots in the ANAC contract database, assigned to regions by the contracting authority's regional section, with award records to September 2026. Award records cover 25 to 80 per cent of lots depending on the region, and the regional pattern does not hold within the year: first against second half r = 0.26 by lot and 0.44 by tender, about 0 for supplies and services. Works alone are stable (r = 0.79) but rest on as few as 26 lots in some regions, follow reporting coverage (r = 0.41) and rank the Alpine regions highest, which reflects small local markets rather than integrity. Not integrated; SDG-202 and SDG-202A stay flagged as stale</w:t>
            </w:r>
          </w:p>
        </w:tc>
      </w:tr>
      <w:tr>
        <w:trPr>
          <w:cantSplit/>
        </w:trPr>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Banca d'Italia BDS — regional credit to small firms by borrower size</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the only regional series by firm size is the 12-month growth of loans to small firms (cube TFR20231, sector SBI33: partnerships and sole proprietorships with fewer than 20 employees, to March 2026); borrower counts are published for household sectors only (TRI30190: artisans and other producer households) and loan-size classes are not firm sizes (TRI30146). The growth rate passes the duplicate screen (max |r| 0.73) and holds from year to year (r 0.64-0.82) but is a flow that runs opposite to the 2018 access level (r = -0.54 with SDG-409: credit contracts fastest where access was highest), so it does not measure access; the borrower-based level proxies fail the duplicate screen (r = 0.85-0.87). Not integrated; SDG-409 stays flagged as stale</w:t>
            </w:r>
          </w:p>
        </w:tc>
      </w:tr>
    </w:tbl>
    <w:p>
      <w:pPr>
        <w:pStyle w:val="Heading2"/>
        <w:spacing w:after="120" w:before="280"/>
      </w:pPr>
      <w:r>
        <w:t xml:space="preserve">B.3 Deduplication</w:t>
      </w:r>
    </w:p>
    <w:p>
      <w:pPr>
        <w:spacing w:after="100" w:line="276"/>
      </w:pPr>
      <w:r>
        <w:rPr>
          <w:sz w:val="20"/>
          <w:szCs w:val="20"/>
        </w:rPr>
        <w:t xml:space="preserve">Identical indicator codes: ISTAT publishes many indicators in both the BES and SDG frameworks under the same indicator code. Each such indicator counts once: the vintage with the most recent data year is kept (tie goes to the SDG file, the more recently curated publication), and the survivor is grouped under its BES domain so the thematic structure stays stable.</w:t>
      </w:r>
    </w:p>
    <w:p>
      <w:pPr>
        <w:spacing w:after="80"/>
      </w:pPr>
      <w:r>
        <w:rPr>
          <w:color w:val="6B7280"/>
          <w:sz w:val="16"/>
          <w:szCs w:val="16"/>
        </w:rPr>
        <w:t xml:space="preserve">Indicators merged by code in the current vintage: 51.</w:t>
      </w:r>
    </w:p>
    <w:p>
      <w:pPr>
        <w:spacing w:after="100" w:line="276"/>
      </w:pPr>
      <w:r>
        <w:rPr>
          <w:sz w:val="20"/>
          <w:szCs w:val="20"/>
        </w:rPr>
        <w:t xml:space="preserve">Statistically identical series: Beyond identical codes, the Pearson correlation of the latest raw values across regions is computed for every pair of admitted indicators. A pair with |r| &gt;= 0.99 is one variable published twice: exactly one member is kept under a documented decision (the fresher vintage; on a tie the BES publication or the primary, non-derived measure) and the other is listed among the exclusions. Pairs with 0.95 &lt;= |r| &lt; 0.99 are kept and listed for review: they measure distinct concepts that co-move across regions. Every pair is also read by name, whatever its r, for the same measure published under two codes (two age bands or recall windows of one survey variable, two tails of one distribution, a threshold version of a published share); such a pair is resolved in the polarity register like a duplicate, one member kept under the same tie-break (duplicate audit of 29 Sep 2026). An undocumented pair above the duplicate threshold fails the build.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3"/>
        <w:gridCol w:w="2313"/>
        <w:gridCol w:w="675"/>
        <w:gridCol w:w="771"/>
        <w:gridCol w:w="3566"/>
      </w:tblGrid>
      <w:tr>
        <w:trPr>
          <w:cantSplit/>
          <w:tblHeader/>
        </w:trPr>
        <w:tc>
          <w:tcPr>
            <w:tcW w:type="dxa" w:w="2313"/>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Kept</w:t>
            </w:r>
          </w:p>
        </w:tc>
        <w:tc>
          <w:tcPr>
            <w:tcW w:type="dxa" w:w="2313"/>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Dropped</w:t>
            </w:r>
          </w:p>
        </w:tc>
        <w:tc>
          <w:tcPr>
            <w:tcW w:type="dxa" w:w="675"/>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r</w:t>
            </w:r>
          </w:p>
        </w:tc>
        <w:tc>
          <w:tcPr>
            <w:tcW w:type="dxa" w:w="771"/>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Regions</w:t>
            </w:r>
          </w:p>
        </w:tc>
        <w:tc>
          <w:tcPr>
            <w:tcW w:type="dxa" w:w="3566"/>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Decision</w:t>
            </w:r>
          </w:p>
        </w:tc>
      </w:tr>
      <w:tr>
        <w:trPr>
          <w:cantSplit/>
        </w:trPr>
        <w:tc>
          <w:tcPr>
            <w:tcW w:type="dxa" w:w="231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b/>
                <w:bCs/>
                <w:sz w:val="17"/>
                <w:szCs w:val="17"/>
              </w:rPr>
              <w:t xml:space="preserve">BES:02IST001</w:t>
            </w:r>
            <w:r>
              <w:rPr>
                <w:sz w:val="17"/>
                <w:szCs w:val="17"/>
              </w:rPr>
              <w:t xml:space="preserve"> — Partecipazione al sistema scolastico dei bambini di 4-5 anni (2024)</w:t>
            </w:r>
          </w:p>
        </w:tc>
        <w:tc>
          <w:tcPr>
            <w:tcW w:type="dxa" w:w="231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b/>
                <w:bCs/>
                <w:sz w:val="17"/>
                <w:szCs w:val="17"/>
              </w:rPr>
              <w:t xml:space="preserve">SDG:SDG-63</w:t>
            </w:r>
            <w:r>
              <w:rPr>
                <w:sz w:val="17"/>
                <w:szCs w:val="17"/>
              </w:rPr>
              <w:t xml:space="preserve"> — Tasso di partecipazione alle attività educative (scuola dell'infanzia e primo anno della primaria) per i 5-enni (2024)</w:t>
            </w:r>
          </w:p>
        </w:tc>
        <w:tc>
          <w:tcPr>
            <w:tcW w:type="dxa" w:w="67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0.992</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356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Pre-primary participation of 4-5-year-olds (BES) and participation in organised learning one year before primary school (SDG 4.2.2) come from the same enrolment data and rank regions identically; BES publication kept.</w:t>
            </w:r>
          </w:p>
        </w:tc>
      </w:tr>
      <w:tr>
        <w:trPr>
          <w:cantSplit/>
        </w:trPr>
        <w:tc>
          <w:tcPr>
            <w:tcW w:type="dxa" w:w="231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b/>
                <w:bCs/>
                <w:sz w:val="17"/>
                <w:szCs w:val="17"/>
              </w:rPr>
              <w:t xml:space="preserve">BES:10AMB011</w:t>
            </w:r>
            <w:r>
              <w:rPr>
                <w:sz w:val="17"/>
                <w:szCs w:val="17"/>
              </w:rPr>
              <w:t xml:space="preserve"> — Popolazione esposta al rischio di frane (2024)</w:t>
            </w:r>
          </w:p>
        </w:tc>
        <w:tc>
          <w:tcPr>
            <w:tcW w:type="dxa" w:w="231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b/>
                <w:bCs/>
                <w:sz w:val="17"/>
                <w:szCs w:val="17"/>
              </w:rPr>
              <w:t xml:space="preserve">SDG:SDG-336</w:t>
            </w:r>
            <w:r>
              <w:rPr>
                <w:sz w:val="17"/>
                <w:szCs w:val="17"/>
              </w:rPr>
              <w:t xml:space="preserve"> — Popolazione esposta al rischio di frane (2024)</w:t>
            </w:r>
          </w:p>
        </w:tc>
        <w:tc>
          <w:tcPr>
            <w:tcW w:type="dxa" w:w="67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1.000</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356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Same ISTAT variable (population exposed to landslide risk) published under two indicator codes with the same reference year; BES publication kept.</w:t>
            </w:r>
          </w:p>
        </w:tc>
      </w:tr>
      <w:tr>
        <w:trPr>
          <w:cantSplit/>
        </w:trPr>
        <w:tc>
          <w:tcPr>
            <w:tcW w:type="dxa" w:w="231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b/>
                <w:bCs/>
                <w:sz w:val="17"/>
                <w:szCs w:val="17"/>
              </w:rPr>
              <w:t xml:space="preserve">BES:10AMB012</w:t>
            </w:r>
            <w:r>
              <w:rPr>
                <w:sz w:val="17"/>
                <w:szCs w:val="17"/>
              </w:rPr>
              <w:t xml:space="preserve"> — Popolazione esposta al rischio di alluvioni (2020)</w:t>
            </w:r>
          </w:p>
        </w:tc>
        <w:tc>
          <w:tcPr>
            <w:tcW w:type="dxa" w:w="231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b/>
                <w:bCs/>
                <w:sz w:val="17"/>
                <w:szCs w:val="17"/>
              </w:rPr>
              <w:t xml:space="preserve">SDG:SDG-337</w:t>
            </w:r>
            <w:r>
              <w:rPr>
                <w:sz w:val="17"/>
                <w:szCs w:val="17"/>
              </w:rPr>
              <w:t xml:space="preserve"> — Popolazione esposta al rischio di alluvioni (2020)</w:t>
            </w:r>
          </w:p>
        </w:tc>
        <w:tc>
          <w:tcPr>
            <w:tcW w:type="dxa" w:w="67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1.000</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356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Same ISTAT variable (population exposed to flood risk) published under two indicator codes with the same reference year; BES publication kept.</w:t>
            </w:r>
          </w:p>
        </w:tc>
      </w:tr>
      <w:tr>
        <w:trPr>
          <w:cantSplit/>
        </w:trPr>
        <w:tc>
          <w:tcPr>
            <w:tcW w:type="dxa" w:w="231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b/>
                <w:bCs/>
                <w:sz w:val="17"/>
                <w:szCs w:val="17"/>
              </w:rPr>
              <w:t xml:space="preserve">BES:10AMB003</w:t>
            </w:r>
            <w:r>
              <w:rPr>
                <w:sz w:val="17"/>
                <w:szCs w:val="17"/>
              </w:rPr>
              <w:t xml:space="preserve"> — Dispersione da rete idrica comunale (2022)</w:t>
            </w:r>
          </w:p>
        </w:tc>
        <w:tc>
          <w:tcPr>
            <w:tcW w:type="dxa" w:w="231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b/>
                <w:bCs/>
                <w:sz w:val="17"/>
                <w:szCs w:val="17"/>
              </w:rPr>
              <w:t xml:space="preserve">SDG:SDG-31</w:t>
            </w:r>
            <w:r>
              <w:rPr>
                <w:sz w:val="17"/>
                <w:szCs w:val="17"/>
              </w:rPr>
              <w:t xml:space="preserve"> — Efficienza delle reti di distribuzione dell'acqua potabile (2022)</w:t>
            </w:r>
          </w:p>
        </w:tc>
        <w:tc>
          <w:tcPr>
            <w:tcW w:type="dxa" w:w="67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-1.000</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356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Water-network efficiency is the complement (100 - x) of water-network dispersion: identical information with opposite sign.</w:t>
            </w:r>
          </w:p>
        </w:tc>
      </w:tr>
      <w:tr>
        <w:trPr>
          <w:cantSplit/>
        </w:trPr>
        <w:tc>
          <w:tcPr>
            <w:tcW w:type="dxa" w:w="231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b/>
                <w:bCs/>
                <w:sz w:val="17"/>
                <w:szCs w:val="17"/>
              </w:rPr>
              <w:t xml:space="preserve">BES:11RIC004</w:t>
            </w:r>
            <w:r>
              <w:rPr>
                <w:sz w:val="17"/>
                <w:szCs w:val="17"/>
              </w:rPr>
              <w:t xml:space="preserve"> — Innovazione del sistema produttivo (2022)</w:t>
            </w:r>
          </w:p>
        </w:tc>
        <w:tc>
          <w:tcPr>
            <w:tcW w:type="dxa" w:w="231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b/>
                <w:bCs/>
                <w:sz w:val="17"/>
                <w:szCs w:val="17"/>
              </w:rPr>
              <w:t xml:space="preserve">SDG:SDG-266</w:t>
            </w:r>
            <w:r>
              <w:rPr>
                <w:sz w:val="17"/>
                <w:szCs w:val="17"/>
              </w:rPr>
              <w:t xml:space="preserve"> — Imprese con attività innovative di prodotto e/o processo (per 100 imprese) (2022)</w:t>
            </w:r>
          </w:p>
        </w:tc>
        <w:tc>
          <w:tcPr>
            <w:tcW w:type="dxa" w:w="67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1.000</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w:t>
            </w:r>
          </w:p>
        </w:tc>
        <w:tc>
          <w:tcPr>
            <w:tcW w:type="dxa" w:w="356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 'Innovazione del sistema produttivo' is defined as the share of firms with product or process innovation, i.e. the SDG measure under another name.</w:t>
            </w:r>
          </w:p>
        </w:tc>
      </w:tr>
      <w:tr>
        <w:trPr>
          <w:cantSplit/>
        </w:trPr>
        <w:tc>
          <w:tcPr>
            <w:tcW w:type="dxa" w:w="231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b/>
                <w:bCs/>
                <w:sz w:val="17"/>
                <w:szCs w:val="17"/>
              </w:rPr>
              <w:t xml:space="preserve">SDG:SDG-179</w:t>
            </w:r>
            <w:r>
              <w:rPr>
                <w:sz w:val="17"/>
                <w:szCs w:val="17"/>
              </w:rPr>
              <w:t xml:space="preserve"> — Copertura vaccinale in età pediatrica: polio (2024)</w:t>
            </w:r>
          </w:p>
        </w:tc>
        <w:tc>
          <w:tcPr>
            <w:tcW w:type="dxa" w:w="231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b/>
                <w:bCs/>
                <w:sz w:val="17"/>
                <w:szCs w:val="17"/>
              </w:rPr>
              <w:t xml:space="preserve">SDG:SDG-532</w:t>
            </w:r>
            <w:r>
              <w:rPr>
                <w:sz w:val="17"/>
                <w:szCs w:val="17"/>
              </w:rPr>
              <w:t xml:space="preserve"> — Copertura vaccinale: tetano (2024)</w:t>
            </w:r>
          </w:p>
        </w:tc>
        <w:tc>
          <w:tcPr>
            <w:tcW w:type="dxa" w:w="67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0.999</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19</w:t>
            </w:r>
          </w:p>
        </w:tc>
        <w:tc>
          <w:tcPr>
            <w:tcW w:type="dxa" w:w="356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Paediatric polio and tetanus coverage are both measured on the hexavalent vaccine given at 24 months: one vaccination act under two labels. The polio series is kept because it covers all 20 regions.</w:t>
            </w:r>
          </w:p>
        </w:tc>
      </w:tr>
    </w:tbl>
    <w:p>
      <w:pPr>
        <w:spacing w:after="80"/>
      </w:pPr>
      <w:r>
        <w:rPr>
          <w:color w:val="6B7280"/>
          <w:sz w:val="16"/>
          <w:szCs w:val="16"/>
        </w:rPr>
        <w:t xml:space="preserve">Pairs in the review band (0.95 ≤ |r| &lt; 0.99), kept as distinct concepts: 27. The five strongest: BES:03LAV001-N22 ~ BES:03LAV002-N22 (r = -0.989); BES:SDG-310 ~ SDG:SDG-313 (r = 0.986); SDG:SDG-456 ~ SDG:SDG-457 (r = 0.980); SDG:SDG-444 ~ SDG:SDG-446 (r = 0.974); BES:02IST006-N22 ~ SDG:SDG-251-N23 (r = 0.972). The full list is in methodology.json.</w:t>
      </w:r>
    </w:p>
    <w:p>
      <w:pPr>
        <w:pStyle w:val="Heading2"/>
        <w:spacing w:after="120" w:before="280"/>
      </w:pPr>
      <w:r>
        <w:t xml:space="preserve">B.4 Thematic-group composition rules</w:t>
      </w:r>
    </w:p>
    <w:p>
      <w:pPr>
        <w:spacing w:after="100" w:line="276"/>
      </w:pPr>
      <w:r>
        <w:rPr>
          <w:sz w:val="20"/>
          <w:szCs w:val="20"/>
        </w:rPr>
        <w:t xml:space="preserve">Every thematic group holds at least 2 indicators. The rules below assign indicators of different providers to one group, or merge a single external series into the ISTAT BES domain measuring the same theme; all other indicators are grouped by their BES domain or SDG goal.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60"/>
        <w:gridCol w:w="1928"/>
        <w:gridCol w:w="2891"/>
        <w:gridCol w:w="3759"/>
      </w:tblGrid>
      <w:tr>
        <w:trPr>
          <w:cantSplit/>
          <w:tblHeader/>
        </w:trPr>
        <w:tc>
          <w:tcPr>
            <w:tcW w:type="dxa" w:w="1060"/>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Factor</w:t>
            </w:r>
          </w:p>
        </w:tc>
        <w:tc>
          <w:tcPr>
            <w:tcW w:type="dxa" w:w="1928"/>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Group</w:t>
            </w:r>
          </w:p>
        </w:tc>
        <w:tc>
          <w:tcPr>
            <w:tcW w:type="dxa" w:w="2891"/>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Members</w:t>
            </w:r>
          </w:p>
        </w:tc>
        <w:tc>
          <w:tcPr>
            <w:tcW w:type="dxa" w:w="3759"/>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Rationale</w:t>
            </w:r>
          </w:p>
        </w:tc>
      </w:tr>
      <w:tr>
        <w:trPr>
          <w:cantSplit/>
        </w:trPr>
        <w:tc>
          <w:tcPr>
            <w:tcW w:type="dxa" w:w="106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192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Physical hazards</w:t>
            </w:r>
          </w:p>
        </w:tc>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DPC:SEISMIC_Z12, DPC:VOLCANIC, TH:CF, TH:TS, EUROSTAT:CDD, RADON:INDOOR_MEAN</w:t>
            </w:r>
          </w:p>
        </w:tc>
        <w:tc>
          <w:tcPr>
            <w:tcW w:type="dxa" w:w="375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Seismic exposure (share of residents in seismic zones 1-2, DPC classification x ISTAT population), volcanic hazard (DPC register), coastal-flood and tsunami classes (ThinkHazard!, kept where no finer official source exists) and chronic heat exposure (cooling degree days) form one natural-hazard theme. ThinkHazard! earthquake, wildfire, heat, drought and volcano classes were retired in v1.1 because they did not discriminate between regions or were wrong (see the polarity register). Indoor radon (mean concentration measured in dwellings by the ISS-ANPA national survey 1989-1998, still the reference of the national radon action plan 2023-2032) joins the theme as the geogenic hazard of the ground buildings stand on (v1.2 missing-indicator review of 28 Sep 2026; flagged as stale).</w:t>
            </w:r>
          </w:p>
        </w:tc>
      </w:tr>
      <w:tr>
        <w:trPr>
          <w:cantSplit/>
        </w:trPr>
        <w:tc>
          <w:tcPr>
            <w:tcW w:type="dxa" w:w="106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192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Projected climate hazards</w:t>
            </w:r>
          </w:p>
        </w:tc>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CCKP:HOT_DAYS_35_CHANGE, CCKP:SPEI12_CHANGE, CCKP:RX1DAY_CHANGE</w:t>
            </w:r>
          </w:p>
        </w:tc>
        <w:tc>
          <w:tcPr>
            <w:tcW w:type="dxa" w:w="375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Forward-looking physical climate risk, the only projected indicators of the rating (v1.2 missing-indicator review of 28 Sep 2026): the change between 1995-2014 and 2040-2059 of three hazards, days with a maximum above 35 °C (heat), the 12-month standardised precipitation-evapotranspiration index (drought) and the wettest day of the year (extreme rain), under the high-emission scenario SSP5-8.5 that ESRS E1 (AR 11) asks physical-risk analysis to consider (CMIP6 0.25° bias-adjusted ensemble median, World Bank Climate Change Knowledge Portal, regional means). Present-day levels are already read by observed series (cooling degree days; BES warm-spell, extreme-rain and dry-spell days), and projected levels correlate at 0.94 to 1.00 with the historical run, so only the change is scored. Of the eight projected variables screened, consecutive dry days, the hottest day of the year and tropical nights failed the duplicate screen; the 5-day rainfall maximum (r = 0.60 between SSP2-4.5 and SSP5-8.5) and days above 50 mm (whose SSP2-4.5 change duplicates the observed extreme-rain days, 10AMB026, at 0.84) read the same hazard as the wettest day, less robustly. Regional values under SSP2-4.5 correlate at 0.99 (heat), 0.97 (drought) and 0.80 (rain) with those under SSP5-8.5.</w:t>
            </w:r>
          </w:p>
        </w:tc>
      </w:tr>
      <w:tr>
        <w:trPr>
          <w:cantSplit/>
        </w:trPr>
        <w:tc>
          <w:tcPr>
            <w:tcW w:type="dxa" w:w="106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192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Emissions and transition risk</w:t>
            </w:r>
          </w:p>
        </w:tc>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EMIS:GHG_PC, EMIS:GHG_GDP, EUROSTAT:ETS_JOBS, SIAPE:MEAN_ENERGY_CLASS</w:t>
            </w:r>
          </w:p>
        </w:tc>
        <w:tc>
          <w:tcPr>
            <w:tcW w:type="dxa" w:w="375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GHG emissions per capita, carbon intensity of GDP and carbon-intensive employment describe one theme (climate change mitigation and transition risk, ESRS E1); an emission level per head is not a theme of its own. From v1.2 both emission measures come from the ISPRA national inventory (2023 provincial disaggregation; CO2, CH4 and N2O), which replaced the EDGAR-based OECD regional series by owner decision of 28 Sep 2026 (one source per theme, the most trusted and the most recent). The energy performance of the housing stock joins the theme in the missing-indicator review of 28 Sep 2026: the mean energy class of dwellings certified in 2025 for a sale or a rental (ENEA SIAPE, all ten classes from G to A4), the transition risk that the minimum energy performance standards of the recast Energy Performance of Buildings Directive (EU) 2024/1275 place on property owners.</w:t>
            </w:r>
          </w:p>
        </w:tc>
      </w:tr>
      <w:tr>
        <w:trPr>
          <w:cantSplit/>
        </w:trPr>
        <w:tc>
          <w:tcPr>
            <w:tcW w:type="dxa" w:w="106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192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Biodiversity and land</w:t>
            </w:r>
          </w:p>
        </w:tc>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WWF:ECOSYSTEM_DEGRADED, WWF:POLLINATION, WWF:LAND_USE_CHANGE, EUROSTAT:WOODLAND, JRC:SOIL_EROSION</w:t>
            </w:r>
          </w:p>
        </w:tc>
        <w:tc>
          <w:tcPr>
            <w:tcW w:type="dxa" w:w="375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Only pressure and condition measures are read as risk: degraded ecosystems, pollination-service risk, land-use change, soil erosion by water (ESRS E4) and woodland cover. The WWF 'exposure' indicators (Key Biodiversity Areas, Ramsar sites, range rarity) were retired in v1.1: they encode the location risk of a company operating near sensitive sites, which for a territory is natural wealth already read positively through protected areas.</w:t>
            </w:r>
          </w:p>
        </w:tc>
      </w:tr>
      <w:tr>
        <w:trPr>
          <w:cantSplit/>
        </w:trPr>
        <w:tc>
          <w:tcPr>
            <w:tcW w:type="dxa" w:w="106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192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Politica e istituzioni</w:t>
            </w:r>
          </w:p>
        </w:tc>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EQI:EQI, MI:MAFIA_DISSOLUTIONS</w:t>
            </w:r>
          </w:p>
        </w:tc>
        <w:tc>
          <w:tcPr>
            <w:tcW w:type="dxa" w:w="375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The European Quality of Government Index measures the theme of the ISTAT BES domain 'Politica e istituzioni' (trust in institutions, participation, quality of public administration) and joins it as an independent external measurement. Municipal councils dissolved for mafia infiltration (Ministry of the Interior decrees, scored from v1.2 by owner decision of 28 Sep 2026) join the same domain as its one administrative integrity measure.</w:t>
            </w:r>
          </w:p>
        </w:tc>
      </w:tr>
      <w:tr>
        <w:trPr>
          <w:cantSplit/>
        </w:trPr>
        <w:tc>
          <w:tcPr>
            <w:tcW w:type="dxa" w:w="106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192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Salute</w:t>
            </w:r>
          </w:p>
        </w:tc>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EUROSTAT:OLD_AGE_DEP</w:t>
            </w:r>
          </w:p>
        </w:tc>
        <w:tc>
          <w:tcPr>
            <w:tcW w:type="dxa" w:w="375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The old-age dependency ratio expresses the structural ageing pressure on health and care systems; it joins the ISTAT BES health domain, which already reads ageing through healthy life expectancy at 65 and mortality at 65+.</w:t>
            </w:r>
          </w:p>
        </w:tc>
      </w:tr>
      <w:tr>
        <w:trPr>
          <w:cantSplit/>
        </w:trPr>
        <w:tc>
          <w:tcPr>
            <w:tcW w:type="dxa" w:w="106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Social</w:t>
            </w:r>
          </w:p>
        </w:tc>
        <w:tc>
          <w:tcPr>
            <w:tcW w:type="dxa" w:w="192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3 — Good health and well-being</w:t>
            </w:r>
          </w:p>
        </w:tc>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EUROSTAT:HOSPITAL_BEDS</w:t>
            </w:r>
          </w:p>
        </w:tc>
        <w:tc>
          <w:tcPr>
            <w:tcW w:type="dxa" w:w="375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Eurostat available hospital beds (hlth_rs_bdsrg2, 2024) replaces ISTAT SDG-403 ordinary hospital beds (the same Ministry of Health measure, latest 2023) under the owner's sourcing rule. It takes that series' place in SDG Goal 3, next to ISTAT day-hospital beds (SDG-404).</w:t>
            </w:r>
          </w:p>
        </w:tc>
      </w:tr>
      <w:tr>
        <w:trPr>
          <w:cantSplit/>
        </w:trPr>
        <w:tc>
          <w:tcPr>
            <w:tcW w:type="dxa" w:w="106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192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Air quality</w:t>
            </w:r>
          </w:p>
        </w:tc>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AIR:PM10_DAYS, AIR:NO2_MEAN, AIR:O3_DAYS</w:t>
            </w:r>
          </w:p>
        </w:tc>
        <w:tc>
          <w:tcPr>
            <w:tcW w:type="dxa" w:w="375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Ambient air pollution is the largest environmental health risk in Italy and was read by one indicator only until v1.2 (BES PM2.5 exceedance share, 1 of 19 in the Ambiente domain). ISTAT publishes the ISPRA measurements for the 109 provincial capitals but no regional aggregate; the capitals are aggregated here as a mean weighted by the population of the province each capital represents. Three pollutants with distinct sources form the theme: PM10 days above the daily limit value (Directive 2008/50/EC, 35 days), NO2 annual mean (traffic and combustion) and ozone days above the long-term objective (summer photochemistry). The PM10 annual mean (r = 0.91 with the PM10 exceedance days) and the PM2.5 annual mean (theme already scored by BES 10AMB020; r = 0.83 with soil sealing) were screened out. Weighted once so that the theme counts as one Ambiente-sized voice in E.</w:t>
            </w:r>
          </w:p>
        </w:tc>
      </w:tr>
      <w:tr>
        <w:trPr>
          <w:cantSplit/>
        </w:trPr>
        <w:tc>
          <w:tcPr>
            <w:tcW w:type="dxa" w:w="106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192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Pollution pressures</w:t>
            </w:r>
          </w:p>
        </w:tc>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RIR:SEVESO_PC, EMIS:SO2_KM2, EMIS:NOX_PC, EMIS:PM25_PC, GW:NITRATES_50</w:t>
            </w:r>
          </w:p>
        </w:tc>
        <w:tc>
          <w:tcPr>
            <w:tcW w:type="dxa" w:w="375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Three pressures that the concentration and condition measures do not read, each from an ISPRA inventory (v1.2): major-accident hazard (Seveso III establishments per million inhabitants), anthropogenic emissions of the main air pollutants (SOx per km², NOx and primary PM2.5 per inhabitant, 2023 provincial inventory) and nitrate contamination of groundwater (share of stations at or above 50 mg/l, 2020-2023). The five members correlate at most at |r| 0.63 with one another and at 0.76 with the Air quality and transition-risk members. Weighted once, so the three emission series count as three fifths of one theme rather than as three themes.</w:t>
            </w:r>
          </w:p>
        </w:tc>
      </w:tr>
      <w:tr>
        <w:trPr>
          <w:cantSplit/>
        </w:trPr>
        <w:tc>
          <w:tcPr>
            <w:tcW w:type="dxa" w:w="106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Environmental</w:t>
            </w:r>
          </w:p>
        </w:tc>
        <w:tc>
          <w:tcPr>
            <w:tcW w:type="dxa" w:w="192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Ambiente</w:t>
            </w:r>
          </w:p>
        </w:tc>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UWWTD:SECONDARY_COMPLIANCE, AVQ:NOISE, SUOLO:NET_LAND_TAKE</w:t>
            </w:r>
          </w:p>
        </w:tc>
        <w:tc>
          <w:tcPr>
            <w:tcW w:type="dxa" w:w="375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The share of urban waste-water load receiving compliant secondary treatment (EEA Waterbase, Urban Waste Water Treatment Directive reporting, situation at 31 Dec 2022) replaces the 2015 ISTAT census share of the BES Ambiente domain (10AMB013) and takes its place in that domain (v1.2; scored by owner decision of 28 Sep 2026 in place of the ISPRA treated-load share from the same report, an accepted exception to the duplicate rule: r = -0.84 with teenage fertility). Perceived noise (households reporting noise in their area, ISTAT AVQ 2025) joins the same domain by owner decision of 28 Sep 2026, an accepted exception to the duplicate rule (r = 0.90 with overcrowded housing; see the polarity register). Net land take (ISPRA-SNPA, 2024: new consumed land net of restorations per hectare of territory) joins the domain in the missing-indicator review of 28 Sep 2026 as the yearly flow of the soil-sealing stock the domain already reads (10AMB018; r = 0.67).</w:t>
            </w:r>
          </w:p>
        </w:tc>
      </w:tr>
      <w:tr>
        <w:trPr>
          <w:cantSplit/>
        </w:trPr>
        <w:tc>
          <w:tcPr>
            <w:tcW w:type="dxa" w:w="106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Environmental</w:t>
            </w:r>
          </w:p>
        </w:tc>
        <w:tc>
          <w:tcPr>
            <w:tcW w:type="dxa" w:w="192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 14 — Life below water</w:t>
            </w:r>
          </w:p>
        </w:tc>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BWD:EXCELLENT_SHARE</w:t>
            </w:r>
          </w:p>
        </w:tc>
        <w:tc>
          <w:tcPr>
            <w:tcW w:type="dxa" w:w="375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The EEA bathing-water classification (Directive 2006/7/EC, season 2025) is the primary source of the ISTAT SDG 14 series on bathing waters of excellent quality (SDG-499), whose 2024 values it reproduces exactly; it replaces that series one season later and takes its place in Goal 14 next to marine litter (SDG-488), and it also replaces the stale BES coastal-bathability share (10AMB007, 2019) at the owner's request (v1.2 stale-series review).</w:t>
            </w:r>
          </w:p>
        </w:tc>
      </w:tr>
      <w:tr>
        <w:trPr>
          <w:cantSplit/>
        </w:trPr>
        <w:tc>
          <w:tcPr>
            <w:tcW w:type="dxa" w:w="106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192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Health governance</w:t>
            </w:r>
          </w:p>
        </w:tc>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MDS:NSG_CORE_MIN, MDS:RECOVERY_PLAN, PNE:HIP_FRACTURE_48H, PNE:AMI_MORTALITY_30D</w:t>
            </w:r>
          </w:p>
        </w:tc>
        <w:tc>
          <w:tcPr>
            <w:tcW w:type="dxa" w:w="375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Health is the largest item a regional administration runs. The Ministry of Health's own two tests of that stewardship form one governance theme (v1.2): the NSG CORE score of the weakest macro-area (the binding LEA test) and the deficit recovery-plan regime (plan, plan under a commissario ad acta). Two outcomes of the hospital networks that the region plans under DM 70/2015 join the theme in the social-candidate review of 28 Sep 2026, both risk-adjusted by the AGENAS National Outcomes Programme (PNE 2025, discharges of 2024): the share of hip fractures at 65+ operated within 48 hours, by region of residence, and the 30-day mortality after acute myocardial infarction, as the case-weighted mean of the region's hospitals. They correlate at 0.02 with each other, and each reads a different side of the group (hip-fracture timeliness 0.56 with the NSG CORE minimum, infarction mortality 0.54 with the recovery-plan class). Population health itself stays in the S factor (BES Salute).</w:t>
            </w:r>
          </w:p>
        </w:tc>
      </w:tr>
      <w:tr>
        <w:trPr>
          <w:cantSplit/>
        </w:trPr>
        <w:tc>
          <w:tcPr>
            <w:tcW w:type="dxa" w:w="106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192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Public finance and payment discipline</w:t>
            </w:r>
          </w:p>
        </w:tc>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BDI:LOCAL_DEBT, RGS:PAYMENT_DELAY</w:t>
            </w:r>
          </w:p>
        </w:tc>
        <w:tc>
          <w:tcPr>
            <w:tcW w:type="dxa" w:w="375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Local government debt per inhabitant (Banca d'Italia, whole local sector resident in the region including State liquidity advances) and the weighted payment delay to suppliers of the region and its local health entities (MEF-RGS Piattaforma dei Crediti Commerciali) describe one theme, the financial discipline of the administration (v1.2). Deficits are not scored separately: the recovery-plan regime already reads the health deficit and no regional-account deficit series is published with comparable timeliness.</w:t>
            </w:r>
          </w:p>
        </w:tc>
      </w:tr>
      <w:tr>
        <w:trPr>
          <w:cantSplit/>
        </w:trPr>
        <w:tc>
          <w:tcPr>
            <w:tcW w:type="dxa" w:w="106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Governance</w:t>
            </w:r>
          </w:p>
        </w:tc>
        <w:tc>
          <w:tcPr>
            <w:tcW w:type="dxa" w:w="192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EU-funds delivery</w:t>
            </w:r>
          </w:p>
        </w:tc>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OC:ABSORPTION_1420, OC:CONCLUDED_1420, EC:INTERIM_PAYMENTS_2127, PNRR:PAYMENT_SHARE</w:t>
            </w:r>
          </w:p>
        </w:tc>
        <w:tc>
          <w:tcPr>
            <w:tcW w:type="dxa" w:w="375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Delivery of EU-funded investment is one theme across three cycles: absorption and completion of the closed 2014-2020 cycle (OpenCoesione), interim payments received on the open 2021-2027 regional programmes (EC Cohesion Open Data, v1.2) and payments made on the PNRR projects located in the region as a share of their financing (ReGiS via OpenPNRR, v1.2). Weighted once so that the open cycles do not outweigh the rest of the factor.</w:t>
            </w:r>
          </w:p>
        </w:tc>
      </w:tr>
      <w:tr>
        <w:trPr>
          <w:cantSplit/>
        </w:trPr>
        <w:tc>
          <w:tcPr>
            <w:tcW w:type="dxa" w:w="106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192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Climate governance</w:t>
            </w:r>
          </w:p>
        </w:tc>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GCOM:PLAN_COVERAGE, ADAPT:REGIONAL_STAGE</w:t>
            </w:r>
          </w:p>
        </w:tc>
        <w:tc>
          <w:tcPr>
            <w:tcW w:type="dxa" w:w="375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Climate policy below the State runs on two tiers, and the governance-candidate review of 29 Sep 2026 scores one indicator for each as a new G theme: the municipal tier as the share of residents covered by a Covenant of Mayors action plan with a 2030 or 2050 target (PAESC, own or joint plan of an active signatory; JRC MyCovenant 6th release, 2025) and the regional tier as the stage of the regional adaptation strategy and plan (ISPRA sheet of 31 Dec 2025 on the MASE survey of the regions, fixed scale). The two correlate at 0.17. Emissions and physical climate risk stay in the E factor (Emissions and transition risk, Physical hazards, Projected climate hazards); this group reads whether the administrations plan for them.</w:t>
            </w:r>
          </w:p>
        </w:tc>
      </w:tr>
      <w:tr>
        <w:trPr>
          <w:cantSplit/>
        </w:trPr>
        <w:tc>
          <w:tcPr>
            <w:tcW w:type="dxa" w:w="106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Social</w:t>
            </w:r>
          </w:p>
        </w:tc>
        <w:tc>
          <w:tcPr>
            <w:tcW w:type="dxa" w:w="192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Benessere economico</w:t>
            </w:r>
          </w:p>
        </w:tc>
        <w:tc>
          <w:tcPr>
            <w:tcW w:type="dxa" w:w="289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SFRATTI:ORDERS_HH, OIPE:ENERGY_POVERTY</w:t>
            </w:r>
          </w:p>
        </w:tc>
        <w:tc>
          <w:tcPr>
            <w:tcW w:type="dxa" w:w="375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Two hardship measures that no scored series reads join the ISTAT BES domain 'Benessere economico' in the social-candidate review of 28 Sep 2026: eviction orders issued per 1,000 households (Ministry of the Interior, 2023; acute housing distress, 78 per cent of orders for arrears; Calabria unscored for missing provincial returns) and households in energy poverty (OIPE 2024, the measure of the national energy and climate plan; scored by owner decision at the duplicate threshold, r = 0.80 with perceived job insecurity). Within the domain, evictions correlate at 0.61 with housing-cost overburden (SDG-222) and energy poverty at 0.60 with the at-risk-of-poverty rate (04BEC003); the two correlate at -0.44 with each other.</w:t>
            </w:r>
          </w:p>
        </w:tc>
      </w:tr>
      <w:tr>
        <w:trPr>
          <w:cantSplit/>
        </w:trPr>
        <w:tc>
          <w:tcPr>
            <w:tcW w:type="dxa" w:w="106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Governance</w:t>
            </w:r>
          </w:p>
        </w:tc>
        <w:tc>
          <w:tcPr>
            <w:tcW w:type="dxa" w:w="192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Qualità dei servizi</w:t>
            </w:r>
          </w:p>
        </w:tc>
        <w:tc>
          <w:tcPr>
            <w:tcW w:type="dxa" w:w="289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SNAI:INNER_AREAS</w:t>
            </w:r>
          </w:p>
        </w:tc>
        <w:tc>
          <w:tcPr>
            <w:tcW w:type="dxa" w:w="375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The share of residents of inner areas (SNAI map 2020: municipalities classed intermediate, peripheral or ultra-peripheral by road time to the nearest town offering upper-secondary schools, a hospital with a first-level emergency department and a railway station) joins the ISTAT BES domain 'Qualità dei servizi' in the social-candidate review of 28 Sep 2026 as the structural measure of distance from essential services. The domain's survey measure of households reporting difficulty in reaching services (12SER004) reads a different construct (r = 0.17).</w:t>
            </w:r>
          </w:p>
        </w:tc>
      </w:tr>
    </w:tbl>
    <w:p>
      <w:pPr>
        <w:pStyle w:val="Heading2"/>
        <w:spacing w:after="120" w:before="280"/>
      </w:pPr>
      <w:r>
        <w:t xml:space="preserve">B.5 Polarity corrections applied in version 1.1</w:t>
      </w:r>
    </w:p>
    <w:p>
      <w:pPr>
        <w:spacing w:after="100" w:line="276"/>
      </w:pPr>
      <w:r>
        <w:rPr>
          <w:sz w:val="20"/>
          <w:szCs w:val="20"/>
        </w:rPr>
        <w:t xml:space="preserve">27 indicators were scored with an inverted sign in version 1.0, where the sign was inferred from keyword rules on the indicator name. The register fixes each of them with a written rationale; "v1.0" and "v1.1" give the sign under the two versions ("risk" = a higher raw value is scored as higher risk).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49"/>
        <w:gridCol w:w="2699"/>
        <w:gridCol w:w="675"/>
        <w:gridCol w:w="675"/>
        <w:gridCol w:w="4241"/>
      </w:tblGrid>
      <w:tr>
        <w:trPr>
          <w:cantSplit/>
          <w:tblHeader/>
        </w:trPr>
        <w:tc>
          <w:tcPr>
            <w:tcW w:type="dxa" w:w="1349"/>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Id</w:t>
            </w:r>
          </w:p>
        </w:tc>
        <w:tc>
          <w:tcPr>
            <w:tcW w:type="dxa" w:w="2699"/>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Indicator</w:t>
            </w:r>
          </w:p>
        </w:tc>
        <w:tc>
          <w:tcPr>
            <w:tcW w:type="dxa" w:w="675"/>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v1.0</w:t>
            </w:r>
          </w:p>
        </w:tc>
        <w:tc>
          <w:tcPr>
            <w:tcW w:type="dxa" w:w="675"/>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v1.1</w:t>
            </w:r>
          </w:p>
        </w:tc>
        <w:tc>
          <w:tcPr>
            <w:tcW w:type="dxa" w:w="4241"/>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Rationale</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BES:03LAV004-N22</w:t>
            </w:r>
          </w:p>
        </w:tc>
        <w:tc>
          <w:tcPr>
            <w:tcW w:type="dxa" w:w="269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Occupati in lavori a termine da almeno 5 anni</w:t>
            </w:r>
          </w:p>
        </w:tc>
        <w:tc>
          <w:tcPr>
            <w:tcW w:type="dxa" w:w="67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67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424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Share of employees on fixed-term contracts for at least five years (trapped in temporary work): higher is worse. Was inverted in v1.0.</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BES:03LAV006-N25</w:t>
            </w:r>
          </w:p>
        </w:tc>
        <w:tc>
          <w:tcPr>
            <w:tcW w:type="dxa" w:w="269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Occupati sovraistruiti tra i laureati (25-64 anni)</w:t>
            </w:r>
          </w:p>
        </w:tc>
        <w:tc>
          <w:tcPr>
            <w:tcW w:type="dxa" w:w="67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67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424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Share of graduates working in jobs below their qualification (skills mismatch): higher is worse. Was inverted in v1.0.</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BES:03LAV008</w:t>
            </w:r>
          </w:p>
        </w:tc>
        <w:tc>
          <w:tcPr>
            <w:tcW w:type="dxa" w:w="269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Occupati non regolari</w:t>
            </w:r>
          </w:p>
        </w:tc>
        <w:tc>
          <w:tcPr>
            <w:tcW w:type="dxa" w:w="67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67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424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Share of irregular (undeclared) workers in total employment: higher is worse. Was inverted in v1.0.</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BES:03LAV009-N22</w:t>
            </w:r>
          </w:p>
        </w:tc>
        <w:tc>
          <w:tcPr>
            <w:tcW w:type="dxa" w:w="269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Rapporto tra i tassi di occupazione (25-49 anni) delle donne con figli in età prescolare e delle donne senza figli</w:t>
            </w:r>
          </w:p>
        </w:tc>
        <w:tc>
          <w:tcPr>
            <w:tcW w:type="dxa" w:w="67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67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424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Employment rate of mothers of pre-school children relative to childless women (x100): a higher ratio is closer to parity, i.e. better. Was inverted in v1.0.</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BES:03LAV010</w:t>
            </w:r>
          </w:p>
        </w:tc>
        <w:tc>
          <w:tcPr>
            <w:tcW w:type="dxa" w:w="269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Occupati (15-64 anni) che svolgono più di 60 ore settimanali di lavoro retribuito e/o familiare</w:t>
            </w:r>
          </w:p>
        </w:tc>
        <w:tc>
          <w:tcPr>
            <w:tcW w:type="dxa" w:w="67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67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424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Share of workers doing more than 60 hours a week of paid plus unpaid work: over-work, higher is worse. Was inverted in v1.0.</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BES:03LAV013-N22</w:t>
            </w:r>
          </w:p>
        </w:tc>
        <w:tc>
          <w:tcPr>
            <w:tcW w:type="dxa" w:w="269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Percezione di insicurezza dell'occupazione</w:t>
            </w:r>
          </w:p>
        </w:tc>
        <w:tc>
          <w:tcPr>
            <w:tcW w:type="dxa" w:w="67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67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424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Share of workers who perceive their job as insecure: higher is worse. Was inverted in v1.0 ('sicurezza' keyword).</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BES:04BEC002</w:t>
            </w:r>
          </w:p>
        </w:tc>
        <w:tc>
          <w:tcPr>
            <w:tcW w:type="dxa" w:w="269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Disuguaglianza del reddito netto (s80/s20)</w:t>
            </w:r>
          </w:p>
        </w:tc>
        <w:tc>
          <w:tcPr>
            <w:tcW w:type="dxa" w:w="67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67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424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Income quintile share ratio s80/s20: a higher ratio is more inequality (SDG 10). Was inverted in v1.0 (Calabria, the most unequal region, scored 100).</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BES:06POL010</w:t>
            </w:r>
          </w:p>
        </w:tc>
        <w:tc>
          <w:tcPr>
            <w:tcW w:type="dxa" w:w="269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Età media dei parlamentari italiani</w:t>
            </w:r>
          </w:p>
        </w:tc>
        <w:tc>
          <w:tcPr>
            <w:tcW w:type="dxa" w:w="67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67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424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Average age of Italian MPs elected in the region. BES reads a lower age as generational renewal, but attribution to regional governance is weak and ESG relevance marginal. Review 2 recommended exclusion; on 28 Sep 2026 the owner chose the BES convention, so the indicator is scored as risk (a higher average age is worse). v1.0 had scored it as safety, so the sign is also inverted with respect to the first edition.</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BES:07SIC008</w:t>
            </w:r>
          </w:p>
        </w:tc>
        <w:tc>
          <w:tcPr>
            <w:tcW w:type="dxa" w:w="269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Preoccupazione di subire una violenza sessuale</w:t>
            </w:r>
          </w:p>
        </w:tc>
        <w:tc>
          <w:tcPr>
            <w:tcW w:type="dxa" w:w="67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67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424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Share of people worried about suffering sexual violence: higher is worse perceived safety. Was inverted in v1.0 ('sicurezza' keyword family).</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BES:09PAE010</w:t>
            </w:r>
          </w:p>
        </w:tc>
        <w:tc>
          <w:tcPr>
            <w:tcW w:type="dxa" w:w="269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Insoddisfazione per il paesaggio del luogo di vita</w:t>
            </w:r>
          </w:p>
        </w:tc>
        <w:tc>
          <w:tcPr>
            <w:tcW w:type="dxa" w:w="67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67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424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Share of people dissatisfied with the landscape where they live: higher is worse. Was inverted in v1.0 because 'soddisfazione' matched inside 'insoddisfazione'.</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BES:10AMB020</w:t>
            </w:r>
          </w:p>
        </w:tc>
        <w:tc>
          <w:tcPr>
            <w:tcW w:type="dxa" w:w="269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Qualità dell'aria - PM2.5</w:t>
            </w:r>
          </w:p>
        </w:tc>
        <w:tc>
          <w:tcPr>
            <w:tcW w:type="dxa" w:w="67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67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424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Share of valid PM2.5 measurements above the WHO daily guideline: worse air quality, higher is worse. Was inverted in v1.0 (Veneto at 100% exceedances scored 100).</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BES:12SER027</w:t>
            </w:r>
          </w:p>
        </w:tc>
        <w:tc>
          <w:tcPr>
            <w:tcW w:type="dxa" w:w="269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Medici di medicina generale con un numero di assistiti oltre soglia</w:t>
            </w:r>
          </w:p>
        </w:tc>
        <w:tc>
          <w:tcPr>
            <w:tcW w:type="dxa" w:w="67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67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424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Share of general practitioners with more patients than the contractual ceiling: a doctor shortage, higher is worse. Was inverted in v1.0.</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BES:SDG-310</w:t>
            </w:r>
          </w:p>
        </w:tc>
        <w:tc>
          <w:tcPr>
            <w:tcW w:type="dxa" w:w="269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Competenza numerica non adeguata (studenti classi III scuola secondaria primo grado)</w:t>
            </w:r>
          </w:p>
        </w:tc>
        <w:tc>
          <w:tcPr>
            <w:tcW w:type="dxa" w:w="67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67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424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Share of students whose competence is NOT adequate (below the INVALSI threshold): higher is worse. Was inverted in v1.0 ('competenza'/'comprensione' keyword beat 'non adeguata').</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BES:SDG-311</w:t>
            </w:r>
          </w:p>
        </w:tc>
        <w:tc>
          <w:tcPr>
            <w:tcW w:type="dxa" w:w="269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Competenza alfabetica non adeguata (studenti classi III scuola secondaria primo grado)</w:t>
            </w:r>
          </w:p>
        </w:tc>
        <w:tc>
          <w:tcPr>
            <w:tcW w:type="dxa" w:w="67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67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424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Share of students whose competence is NOT adequate (below the INVALSI threshold): higher is worse. Was inverted in v1.0 ('competenza'/'comprensione' keyword beat 'non adeguata').</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SDG:SDG-307</w:t>
            </w:r>
          </w:p>
        </w:tc>
        <w:tc>
          <w:tcPr>
            <w:tcW w:type="dxa" w:w="269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Centri antiviolenza e case rifugio: tasso per 100.000 donne di 14 anni e più</w:t>
            </w:r>
          </w:p>
        </w:tc>
        <w:tc>
          <w:tcPr>
            <w:tcW w:type="dxa" w:w="67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67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424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Anti-violence centres and shelters per 100,000 women: protective capacity (SDG 5.2 response), higher is better. Was inverted in v1.0 because 'violenza' matched inside 'antiviolenza' (Basilicata, with the fewest centres, scored 100).</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SDG:SDG-313</w:t>
            </w:r>
          </w:p>
        </w:tc>
        <w:tc>
          <w:tcPr>
            <w:tcW w:type="dxa" w:w="269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Comprensione della lettura (reading) della lingua inglese non adeguata (studenti classi III scuola secondaria primo grado)</w:t>
            </w:r>
          </w:p>
        </w:tc>
        <w:tc>
          <w:tcPr>
            <w:tcW w:type="dxa" w:w="67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67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424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Share of students whose competence is NOT adequate (below the INVALSI threshold): higher is worse. Was inverted in v1.0 ('competenza'/'comprensione' keyword beat 'non adeguata').</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SDG:SDG-375</w:t>
            </w:r>
          </w:p>
        </w:tc>
        <w:tc>
          <w:tcPr>
            <w:tcW w:type="dxa" w:w="269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Occupati che si recano abitualmente sul luogo di lavoro solo con mezzi privati</w:t>
            </w:r>
          </w:p>
        </w:tc>
        <w:tc>
          <w:tcPr>
            <w:tcW w:type="dxa" w:w="67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67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424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Share of workers commuting only by private vehicle: more car dependence and transport emissions (SDG 11.2), higher is worse. Was inverted in v1.0.</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SDG:SDG-39-N22</w:t>
            </w:r>
          </w:p>
        </w:tc>
        <w:tc>
          <w:tcPr>
            <w:tcW w:type="dxa" w:w="269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Tasso di disoccupazione</w:t>
            </w:r>
          </w:p>
        </w:tc>
        <w:tc>
          <w:tcPr>
            <w:tcW w:type="dxa" w:w="67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67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424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Unemployment rate: higher is worse. Was inverted in v1.0 (Campania at 13.9% scored 100).</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SDG:SDG-443</w:t>
            </w:r>
          </w:p>
        </w:tc>
        <w:tc>
          <w:tcPr>
            <w:tcW w:type="dxa" w:w="269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Competenza alfabetica non adeguata (studenti ultima classe scuola secondaria secondo grado)</w:t>
            </w:r>
          </w:p>
        </w:tc>
        <w:tc>
          <w:tcPr>
            <w:tcW w:type="dxa" w:w="67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67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424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Share of students whose competence is NOT adequate (below the INVALSI threshold): higher is worse. Was inverted in v1.0 ('competenza'/'comprensione' keyword beat 'non adeguata').</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SDG:SDG-444</w:t>
            </w:r>
          </w:p>
        </w:tc>
        <w:tc>
          <w:tcPr>
            <w:tcW w:type="dxa" w:w="269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Competenza numerica non adeguata (studenti ultima classe scuola secondaria secondo grado)</w:t>
            </w:r>
          </w:p>
        </w:tc>
        <w:tc>
          <w:tcPr>
            <w:tcW w:type="dxa" w:w="67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67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424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Share of students whose competence is NOT adequate (below the INVALSI threshold): higher is worse. Was inverted in v1.0 ('competenza'/'comprensione' keyword beat 'non adeguata').</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SDG:SDG-446</w:t>
            </w:r>
          </w:p>
        </w:tc>
        <w:tc>
          <w:tcPr>
            <w:tcW w:type="dxa" w:w="269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Comprensione della lettura (reading) della lingua inglese non adeguata (studenti ultima classe scuola secondaria secondo grado)</w:t>
            </w:r>
          </w:p>
        </w:tc>
        <w:tc>
          <w:tcPr>
            <w:tcW w:type="dxa" w:w="67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67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424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Share of students whose competence is NOT adequate (below the INVALSI threshold): higher is worse. Was inverted in v1.0 ('competenza'/'comprensione' keyword beat 'non adeguata').</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SDG:SDG-489</w:t>
            </w:r>
          </w:p>
        </w:tc>
        <w:tc>
          <w:tcPr>
            <w:tcW w:type="dxa" w:w="269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Occupati non regolari in agricoltura, silvicoltura e pesca</w:t>
            </w:r>
          </w:p>
        </w:tc>
        <w:tc>
          <w:tcPr>
            <w:tcW w:type="dxa" w:w="67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67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424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Share of irregular (undeclared) workers in agriculture, forestry and fishing: higher is worse (SDG 8.8). Was inverted in v1.0.</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SDG:SDG-504</w:t>
            </w:r>
          </w:p>
        </w:tc>
        <w:tc>
          <w:tcPr>
            <w:tcW w:type="dxa" w:w="269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Competenza alfabetica non adeguata (studenti classi II scuola primaria)</w:t>
            </w:r>
          </w:p>
        </w:tc>
        <w:tc>
          <w:tcPr>
            <w:tcW w:type="dxa" w:w="67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67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424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Share of students whose competence is NOT adequate (below the INVALSI threshold): higher is worse. Was inverted in v1.0 ('competenza'/'comprensione' keyword beat 'non adeguata').</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SDG:SDG-505</w:t>
            </w:r>
          </w:p>
        </w:tc>
        <w:tc>
          <w:tcPr>
            <w:tcW w:type="dxa" w:w="269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Competenza numerica non adeguata (studenti classi II scuola primaria)</w:t>
            </w:r>
          </w:p>
        </w:tc>
        <w:tc>
          <w:tcPr>
            <w:tcW w:type="dxa" w:w="67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67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424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Share of students whose competence is NOT adequate (below the INVALSI threshold): higher is worse. Was inverted in v1.0 ('competenza'/'comprensione' keyword beat 'non adeguata').</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SDG:SDG-506</w:t>
            </w:r>
          </w:p>
        </w:tc>
        <w:tc>
          <w:tcPr>
            <w:tcW w:type="dxa" w:w="269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Competenza alfabetica non adeguata (studenti classi V scuola primaria)</w:t>
            </w:r>
          </w:p>
        </w:tc>
        <w:tc>
          <w:tcPr>
            <w:tcW w:type="dxa" w:w="67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67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424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Share of students whose competence is NOT adequate (below the INVALSI threshold): higher is worse. Was inverted in v1.0 ('competenza'/'comprensione' keyword beat 'non adeguata').</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SDG:SDG-507</w:t>
            </w:r>
          </w:p>
        </w:tc>
        <w:tc>
          <w:tcPr>
            <w:tcW w:type="dxa" w:w="269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Competenza numerica non adeguata (studenti classi V scuola primaria)</w:t>
            </w:r>
          </w:p>
        </w:tc>
        <w:tc>
          <w:tcPr>
            <w:tcW w:type="dxa" w:w="67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67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424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Share of students whose competence is NOT adequate (below the INVALSI threshold): higher is worse. Was inverted in v1.0 ('competenza'/'comprensione' keyword beat 'non adeguata').</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SDG:SDG-509</w:t>
            </w:r>
          </w:p>
        </w:tc>
        <w:tc>
          <w:tcPr>
            <w:tcW w:type="dxa" w:w="269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Comprensione della lettura (reading) della lingua inglese non adeguata (studenti classi V scuola primaria)</w:t>
            </w:r>
          </w:p>
        </w:tc>
        <w:tc>
          <w:tcPr>
            <w:tcW w:type="dxa" w:w="67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67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424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Share of students whose competence is NOT adequate (below the INVALSI threshold): higher is worse. Was inverted in v1.0 ('competenza'/'comprensione' keyword beat 'non adeguata').</w:t>
            </w:r>
          </w:p>
        </w:tc>
      </w:tr>
    </w:tbl>
    <w:p>
      <w:pPr>
        <w:pStyle w:val="Heading2"/>
        <w:spacing w:after="120" w:before="280"/>
      </w:pPr>
      <w:r>
        <w:t xml:space="preserve">B.6 Signs decided by the methodology owner</w:t>
      </w:r>
    </w:p>
    <w:p>
      <w:pPr>
        <w:spacing w:after="100" w:line="276"/>
      </w:pPr>
      <w:r>
        <w:rPr>
          <w:sz w:val="20"/>
          <w:szCs w:val="20"/>
        </w:rPr>
        <w:t xml:space="preserve">35 indicators have a sign that is a matter of judgement. For each, the first reviewer applied a recommended reading and recorded the alternative; the methodology owner then ruled on every entry (35 ruled). "Sign" is the sign in force after the ruling; "Ruling" gives the date and whether the recommendation was confirmed or the alternative applied (with the sign the reviewer had recommended). A ruling that applies the alternative is a methodology change under section 8.1 and is recorded in the version history.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49"/>
        <w:gridCol w:w="2506"/>
        <w:gridCol w:w="867"/>
        <w:gridCol w:w="1446"/>
        <w:gridCol w:w="3470"/>
      </w:tblGrid>
      <w:tr>
        <w:trPr>
          <w:cantSplit/>
          <w:tblHeader/>
        </w:trPr>
        <w:tc>
          <w:tcPr>
            <w:tcW w:type="dxa" w:w="1349"/>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Id</w:t>
            </w:r>
          </w:p>
        </w:tc>
        <w:tc>
          <w:tcPr>
            <w:tcW w:type="dxa" w:w="2506"/>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Indicator</w:t>
            </w:r>
          </w:p>
        </w:tc>
        <w:tc>
          <w:tcPr>
            <w:tcW w:type="dxa" w:w="867"/>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Sign</w:t>
            </w:r>
          </w:p>
        </w:tc>
        <w:tc>
          <w:tcPr>
            <w:tcW w:type="dxa" w:w="1446"/>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Ruling</w:t>
            </w:r>
          </w:p>
        </w:tc>
        <w:tc>
          <w:tcPr>
            <w:tcW w:type="dxa" w:w="3470"/>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Rationale</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AIR:O3_DAYS</w:t>
            </w:r>
          </w:p>
        </w:tc>
        <w:tc>
          <w:tcPr>
            <w:tcW w:type="dxa" w:w="250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Ozone: days above the long-term objective (120 µg/m³, 8-hour mean) in provincial capitals, province-population-weighted regional mean</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2026-09-28: confirmed</w:t>
            </w:r>
          </w:p>
        </w:tc>
        <w:tc>
          <w:tcPr>
            <w:tcW w:type="dxa" w:w="347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Days per year on which the maximum daily 8-hour ozone mean exceeded 120 µg/m³ in the provincial capitals, ISPRA data published by ISTAT as SDG-295 (2024), aggregated as for PM10; summer photochemical pollution (highest in the Po valley, near zero in Sardinia) is the third distinct air-quality risk after particulates and NO2. Screened: |r| 0.81 with the propensity to patent (11RIC002, G) and 0.79 with urban green share (SDG-62): the first is above the ~0.8 duplicate threshold but the two indicators share no theme (both follow the north-south industrial gradient), so the review recommended keeping ozone. On 28 Sep 2026 the owner confirmed it under the rule of keeping only the most trusted and most recent source: the series is the ISPRA network data as ISTAT publishes them (SDG-295, drawn from the same data as the IstatData city table 609_1_DF_DCCV_URBANENV_4), latest year 2024. None of the five Calabrian capitals reports a valid ozone year after 2022 in either table, so Calabria keeps its 2022 value.</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AVQ:NOISE</w:t>
            </w:r>
          </w:p>
        </w:tc>
        <w:tc>
          <w:tcPr>
            <w:tcW w:type="dxa" w:w="250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Households reporting noise as a problem of the area where they live (ISTAT AVQ, 2025)</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2026-09-28: alternative applied (recommended: exclude)</w:t>
            </w:r>
          </w:p>
        </w:tc>
        <w:tc>
          <w:tcPr>
            <w:tcW w:type="dxa" w:w="347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Households reporting noise as very or fairly present in the area where they live, ISTAT survey Aspetti della vita quotidiana 2025 (IstatData 82_87_DF_DCCV_AVQ_FAMIGLIE_105, the series the Annuario statistico republishes a year later; its 2024 values are identical): higher is worse. The review screened the 2024 values (r = 0.87 with overcrowded housing, SDG-223, and -0.81 with satisfaction with the environmental situation, 10AMB009) and recommended exclusion under the standing duplicate rule: reported noise follows the urban-density gradient. On 28 Sep 2026 the owner ruled to keep the measure from the most trusted and most recent source only, so the 2025 series is scored in the Ambiente domain as an accepted exception, disclosed here (2025 screen: r = 0.90 with SDG-223, -0.83 with primary PM2.5 emissions per inhabitant, EMIS:PM25_PC, and -0.82 with 10AMB009). The EU-SILC noise item (IstatData 33_291) is as recent but suppressed for Valle d'Aosta and Trento and unstable by region, and measured exposure (END strategic noise maps) is published by agglomeration only (see sources not integrable).</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BES:03LAV021-N22</w:t>
            </w:r>
          </w:p>
        </w:tc>
        <w:tc>
          <w:tcPr>
            <w:tcW w:type="dxa" w:w="250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Occupati che lavorano da casa</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2026-09-28: alternative applied (recommended: exclude)</w:t>
            </w:r>
          </w:p>
        </w:tc>
        <w:tc>
          <w:tcPr>
            <w:tcW w:type="dxa" w:w="347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Share of employed people working from home. ISTAT publishes it without polarity: flexibility (positive) or a service-heavy structure; no agreed ESG sign. Review 2 recommended exclusion; on 28 Sep 2026 the owner chose the flexibility reading, so the indicator is scored as safety (higher is better) in its BES domain.</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BES:04BEC001</w:t>
            </w:r>
          </w:p>
        </w:tc>
        <w:tc>
          <w:tcPr>
            <w:tcW w:type="dxa" w:w="250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Reddito disponibile lordo pro capite</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2026-09-28: confirmed</w:t>
            </w:r>
          </w:p>
        </w:tc>
        <w:tc>
          <w:tcPr>
            <w:tcW w:type="dxa" w:w="347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Gross disposable income per capita: BES economic-wellbeing outcome, higher is better. The indicator most collinear with GDP per capita, which is itself not scored; the income dependence of the total is disclosed as a limitation of the methodology. Confirmed by the owner on 28 Sep 2026.</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BES:04BEC003</w:t>
            </w:r>
          </w:p>
        </w:tc>
        <w:tc>
          <w:tcPr>
            <w:tcW w:type="dxa" w:w="250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Rischio di povertà</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2026-09-29: confirmed</w:t>
            </w:r>
          </w:p>
        </w:tc>
        <w:tc>
          <w:tcPr>
            <w:tcW w:type="dxa" w:w="347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At-risk-of-poverty rate: one of the three components of SDG:SDG-251-N23 (at risk of poverty or social exclusion, Europe 2030 definition). Both come from ISTAT EU-SILC, same year (2025), r = 0.988. Retired under the owner's sourcing rule. Recency and source are equal. AROPE is the more granular series, covering the province of Trento, which this series lacks. It is also the multidimensional measure that UN SDG 1.2.2 asks for (poverty in all its dimensions) and the EU 2030 headline target. AROPE stays scored in SDG Goal 1.</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BES:06POL010</w:t>
            </w:r>
          </w:p>
        </w:tc>
        <w:tc>
          <w:tcPr>
            <w:tcW w:type="dxa" w:w="250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Età media dei parlamentari italiani</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2026-09-28: alternative applied (recommended: exclude)</w:t>
            </w:r>
          </w:p>
        </w:tc>
        <w:tc>
          <w:tcPr>
            <w:tcW w:type="dxa" w:w="347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Average age of Italian MPs elected in the region. BES reads a lower age as generational renewal, but attribution to regional governance is weak and ESG relevance marginal. Review 2 recommended exclusion; on 28 Sep 2026 the owner chose the BES convention, so the indicator is scored as risk (a higher average age is worse). v1.0 had scored it as safety, so the sign is also inverted with respect to the first edition.</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BES:09PAE011</w:t>
            </w:r>
          </w:p>
        </w:tc>
        <w:tc>
          <w:tcPr>
            <w:tcW w:type="dxa" w:w="250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Preoccupazione per il deterioramento del paesaggio</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2026-09-28: alternative applied (recommended: risk)</w:t>
            </w:r>
          </w:p>
        </w:tc>
        <w:tc>
          <w:tcPr>
            <w:tcW w:type="dxa" w:w="347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Share of people worried about the deterioration of the landscape where they live. Review 2 read it as a negative signal about the place (ISTAT BES assigns negative polarity) and recommended risk. On 28 Sep 2026 the owner chose the awareness reading, so the indicator is scored as safety, consistent with the two concern indicators of the environment domain (10AMB015, 10AMB023). v1.0 had also scored it as safety, but by a keyword accident ('paesaggio' matched a safety keyword), so the entry is no longer counted among the v1.0 corrections.</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BES:10AMB015</w:t>
            </w:r>
          </w:p>
        </w:tc>
        <w:tc>
          <w:tcPr>
            <w:tcW w:type="dxa" w:w="250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Preoccupazione per la perdita di biodiversità</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2026-09-28: confirmed</w:t>
            </w:r>
          </w:p>
        </w:tc>
        <w:tc>
          <w:tcPr>
            <w:tcW w:type="dxa" w:w="347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Share of people ranking biodiversity loss among the main environmental concerns. Read as environmental awareness, following the ISTAT BES convention for this indicator (positive polarity). Confirmed by the owner on 28 Sep 2026.</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BES:10AMB023</w:t>
            </w:r>
          </w:p>
        </w:tc>
        <w:tc>
          <w:tcPr>
            <w:tcW w:type="dxa" w:w="250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Preoccupazione per cambiamenti climatici ed effetto serra</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2026-09-28: confirmed</w:t>
            </w:r>
          </w:p>
        </w:tc>
        <w:tc>
          <w:tcPr>
            <w:tcW w:type="dxa" w:w="347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Share of people ranking climate change among the main environmental concerns. Read as environmental awareness, following the ISTAT BES convention (positive polarity). Confirmed by the owner on 28 Sep 2026.</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BES:12SER022</w:t>
            </w:r>
          </w:p>
        </w:tc>
        <w:tc>
          <w:tcPr>
            <w:tcW w:type="dxa" w:w="250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Posti letto per specialità a elevata assistenza</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2026-09-29: alternative applied (recommended: exclude)</w:t>
            </w:r>
          </w:p>
        </w:tc>
        <w:tc>
          <w:tcPr>
            <w:tcW w:type="dxa" w:w="347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Beds in high-intensity care specialties per 10,000 inhabitants (ISTAT on Ministry of Health data, 2023). Bed counts carry no agreed ESG sign: more beds can mean better access or a hospital-centred network. The audit therefore recommended exclusion, but on 29 Sep 2026 the owner ruled that every bed series is scored as care capacity (higher is better) once it passes the duplicate screen. It passes: max |r| = 0.51 over the 20 regions, with SDG:SDG-27 road-accident mortality. Scored in its BES domain (Qualità dei servizi).</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BES:12SER024</w:t>
            </w:r>
          </w:p>
        </w:tc>
        <w:tc>
          <w:tcPr>
            <w:tcW w:type="dxa" w:w="250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Servizio di raccolta differenziata dei rifiuti urbani</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2026-09-29: confirmed</w:t>
            </w:r>
          </w:p>
        </w:tc>
        <w:tc>
          <w:tcPr>
            <w:tcW w:type="dxa" w:w="347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Separate-collection service: the share of residents living in municipalities that reach the 65% separate-collection target. It is derived from the same ISPRA municipal data as SDG:10AMB017 (share of municipal waste collected separately): same year (2024), all regions, r = 0.934. Retired under the owner's sourcing rule: recency, coverage and source are equal, so the primary measurement beats the threshold-derived series. SDG:10AMB017 is the legal target metric and ISTAT's measure for UN SDG 11.6.1. SDG:10AMB017 stays scored.</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BES:SDG-405</w:t>
            </w:r>
          </w:p>
        </w:tc>
        <w:tc>
          <w:tcPr>
            <w:tcW w:type="dxa" w:w="250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Posti letto nei presidi residenziali socio-assistenziali e socio-sanitari</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2026-09-29: confirmed</w:t>
            </w:r>
          </w:p>
        </w:tc>
        <w:tc>
          <w:tcPr>
            <w:tcW w:type="dxa" w:w="347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Beds in residential social-care and social-health facilities per 10,000 inhabitants (ISTAT survey of residential facilities; 2024 in the ISTAT SDG publication, 2023 in the BES copy). On 29 Sep 2026 the owner ruled that every bed series is scored as care capacity (higher is better) once it passes the duplicate screen. This series fails that screen. Over the 20 regions it correlates at r = 0.904 with SDG:SDG-93 (households satisfied with the continuity of the electricity service), r = 0.880 with SDG:SDG-186 (bank branches per 100,000) and r = -0.858 with BES:12SER007 (electricity service irregularity). It would re-weight the North-South gradient those series already carry rather than add new information, as with tourism intensity (r = 0.87) and the NACE A employment share (r = 0.88), which were rejected on the same rule. It stays excluded.</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EUROSTAT:HOSPITAL_BEDS</w:t>
            </w:r>
          </w:p>
        </w:tc>
        <w:tc>
          <w:tcPr>
            <w:tcW w:type="dxa" w:w="250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Available beds in hospitals per 10,000 inhabitants</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2026-09-29: alternative applied (recommended: exclude)</w:t>
            </w:r>
          </w:p>
        </w:tc>
        <w:tc>
          <w:tcPr>
            <w:tcW w:type="dxa" w:w="347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Available beds in hospitals per 10,000 inhabitants (Eurostat hlth_rs_bdsrg2, Ministry of Health data; all hospital types, day-care places excluded). Covers 2024 for all 20 regions, with Trentino-Alto Adige as the ratio of sums of its two provinces. It is the same measure as ISTAT SDG:SDG-403 (r = 0.982 in 2023), which stops at 2023, so the owner's sourcing rule keeps this copy. Scored as care capacity (higher is better) under the owner's bed-capacity ruling of 29 Sep 2026; the audit had recommended excluding bed counts because they carry no agreed ESG sign. Passes the duplicate screen against the other scored series: max |r| = 0.75, with BES:02IST025 digital skills. Placed in SDG Goal 3, where SDG-403 would sit.</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MDS:RECOVERY_PLAN</w:t>
            </w:r>
          </w:p>
        </w:tc>
        <w:tc>
          <w:tcPr>
            <w:tcW w:type="dxa" w:w="250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Health deficit recovery plan (piano di rientro): status of the regional health service</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2026-09-28: confirmed</w:t>
            </w:r>
          </w:p>
        </w:tc>
        <w:tc>
          <w:tcPr>
            <w:tcW w:type="dxa" w:w="347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Fixed-scale class read at the reference date: no plan = 100, plan administered by the region = 50, plan under a commissario ad acta = 0. A plan is a present loss of budgetary autonomy over the largest item the region runs, so a higher class is higher risk. Kept although its correlation with the subjective outlook indicator sits exactly at the duplicate threshold: it is a hard administrative fact in a different factor, and Pearson on a three-class variable carries little meaning. Confirmed by the owner on 28 Sep 2026.</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MI:MAFIA_DISSOLUTIONS</w:t>
            </w:r>
          </w:p>
        </w:tc>
        <w:tc>
          <w:tcPr>
            <w:tcW w:type="dxa" w:w="250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Municipal councils dissolved for mafia infiltration since 2016 per 100 municipalities</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2026-09-28: alternative applied (recommended: exclude)</w:t>
            </w:r>
          </w:p>
        </w:tc>
        <w:tc>
          <w:tcPr>
            <w:tcW w:type="dxa" w:w="347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Dissolution decrees under art. 143 TUEL are the hardest integrity signal available, but the series is zero in twelve regions and its correlation with severe material deprivation (04BEC007-N23) is 0.92, with great difficulty in making ends meet 0.89 and with low-paid employees 0.87: statistically it republishes the deprivation gradient already scored in S. The review therefore recommended exclusion under the standing duplicate rule (|r| &gt; 0.8 with a scored indicator). On 28 Sep 2026 the owner overrode the recommendation: the indicator is scored as risk (higher is worse) and joins the BES domain Politica e istituzioni through the thematic-group registry, as the one integrity measure that is an administrative fact rather than a survey answer. The 0.92 correlation with severe material deprivation is disclosed here as an accepted exception to the duplicate rule; corruption experience remains covered by SDG-202 (households asked for money, favours or other).</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OECD:CARBON_INTENSITY</w:t>
            </w:r>
          </w:p>
        </w:tc>
        <w:tc>
          <w:tcPr>
            <w:tcW w:type="dxa" w:w="250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Carbon intensity of GDP (GHG emissions per unit of economic output)</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2026-09-28: alternative applied (recommended: risk)</w:t>
            </w:r>
          </w:p>
        </w:tc>
        <w:tc>
          <w:tcPr>
            <w:tcW w:type="dxa" w:w="347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GHG emissions per unit of GDP, higher is worse: OECD regional GHG totals (EDGAR-based) divided by Eurostat GDP. Retired in v1.2 together with OECD:GHG_PC under the owner decision of 28 Sep 2026 on the greenhouse-gas source (keep only the most trusted and most recent): its numerator is the OECD series, so keeping it would leave two sources on one theme. Replaced by EMIS:GHG_GDP, the ISPRA 2023 totals over the same Eurostat GDP denominator (r = 0.89 between the two).</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OECD:GHG_PC</w:t>
            </w:r>
          </w:p>
        </w:tc>
        <w:tc>
          <w:tcPr>
            <w:tcW w:type="dxa" w:w="250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Greenhouse-gas emissions per capita</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2026-09-28: alternative applied (recommended: risk)</w:t>
            </w:r>
          </w:p>
        </w:tc>
        <w:tc>
          <w:tcPr>
            <w:tcW w:type="dxa" w:w="347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GHG emissions per capita, higher is worse, from the OECD regional database, which allocates the EDGAR global inventory (JRC) to regions with spatial proxies. Retired in v1.2 by owner decision of 28 Sep 2026 (one source per theme: the most trusted and the most recent): the ISPRA provincial disaggregation of the national inventory, the one Italy submits under the UNFCCC and the EU Governance Regulation, covers the same year (2023) and replaces it as EMIS:GHG_PC. The two per-capita series correlate at r = 0.80 over the 20 regions; the v1.2 review had kept the OECD series and left the choice to the owner.</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OIPE:ENERGY_POVERTY</w:t>
            </w:r>
          </w:p>
        </w:tc>
        <w:tc>
          <w:tcPr>
            <w:tcW w:type="dxa" w:w="250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Households in energy poverty (OIPE, 2024)</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2026-09-28: confirmed</w:t>
            </w:r>
          </w:p>
        </w:tc>
        <w:tc>
          <w:tcPr>
            <w:tcW w:type="dxa" w:w="347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Share of households in energy poverty under the Faiella-Lavecchia measure adopted by the national energy and climate plan (PNIEC), estimated by OIPE on the microdata of the ISTAT household budget survey for 2024 (report of December 2025): higher is worse. From 18.1 per cent in Puglia to 5.0 in Lazio. OIPE publishes the regional estimates only as chart labels, and the smallest regional samples are imprecise (Puglia, 95 per cent interval 13.7-22.4). No scored series reads energy poverty. Screened: |r| 0.802 with perceived job insecurity (03LAV013-N22), at the duplicate threshold, then 0.76 with the carbon intensity of GDP (EMIS:GHG_GDP); 0.60 with the at-risk-of-poverty rate (04BEC003) in the same domain. The review recommended keeping it as a distinct construct (energy costs against income, which a survey question on job security does not measure) and recorded the call for the owner; kept on the owner's go-ahead of 28 Sep 2026.</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PNRR:PAYMENT_SHARE</w:t>
            </w:r>
          </w:p>
        </w:tc>
        <w:tc>
          <w:tcPr>
            <w:tcW w:type="dxa" w:w="250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PNRR: payments made as a share of the financing of the projects located in the region</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2026-09-28: confirmed</w:t>
            </w:r>
          </w:p>
        </w:tc>
        <w:tc>
          <w:tcPr>
            <w:tcW w:type="dxa" w:w="347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Payments made over the total financing of the PNRR projects located in a municipality or province of the region (plus single-region regional projects), ReGiS extraction of 13 June 2026 republished by OpenPNRR: financial execution, higher is better delivery. Multi-region projects are split equally and national programmes booked in every region are dropped, so the measure reads what the region and its local bodies run. Screened: max |r| 0.80 with the NSG CORE minimum (MDS:NSG_CORE_MIN, itself new in v1.2 and in another group), 0.78 with participation in lifelong learning (02IST007-N22) and 0.78 with home burglaries (07SIC002); 0.60 with the 2014-2020 absorption rate and 0.52 with the 2021-2027 interim payments it joins in the EU-funds group. Confirmed by the owner on 28 Sep 2026.</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SDG:SDG-12</w:t>
            </w:r>
          </w:p>
        </w:tc>
        <w:tc>
          <w:tcPr>
            <w:tcW w:type="dxa" w:w="250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Produzione per unità di lavoro delle aziende agricole</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2026-09-28: confirmed</w:t>
            </w:r>
          </w:p>
        </w:tc>
        <w:tc>
          <w:tcPr>
            <w:tcW w:type="dxa" w:w="347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Agricultural output per work unit is a pure productivity outcome (SDG 2.3.1) with no ESG sign of its own; removed for consistency with the economic-outcome rule (review 2). Exclusion confirmed by the owner on 28 Sep 2026.</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SDG:SDG-17</w:t>
            </w:r>
          </w:p>
        </w:tc>
        <w:tc>
          <w:tcPr>
            <w:tcW w:type="dxa" w:w="250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Tasso di crescita annuo del Pil reale per abitante</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2026-09-28: confirmed</w:t>
            </w:r>
          </w:p>
        </w:tc>
        <w:tc>
          <w:tcPr>
            <w:tcW w:type="dxa" w:w="347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Annual growth of real GDP per inhabitant is a pure economic outcome (Goal 8, mapped to S); removed for consistency with the G rule (review 2). Exclusion confirmed by the owner on 28 Sep 2026.</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SDG:SDG-18</w:t>
            </w:r>
          </w:p>
        </w:tc>
        <w:tc>
          <w:tcPr>
            <w:tcW w:type="dxa" w:w="250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Tasso di crescita annuo del Pil reale per occupato</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2026-09-28: confirmed</w:t>
            </w:r>
          </w:p>
        </w:tc>
        <w:tc>
          <w:tcPr>
            <w:tcW w:type="dxa" w:w="347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Annual growth of real GDP per worker is a pure economic outcome; removed for consistency with the G rule (review 2). Exclusion confirmed by the owner on 28 Sep 2026.</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SDG:SDG-202A</w:t>
            </w:r>
          </w:p>
        </w:tc>
        <w:tc>
          <w:tcPr>
            <w:tcW w:type="dxa" w:w="250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Famiglie che hanno ricevuto richieste di denaro, favori o altro in cambio di facilitazioni o servizi negli ultimi tre anni</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2026-09-29: alternative applied (recommended: risk (keep this 3-year recall, drop SDG-202))</w:t>
            </w:r>
          </w:p>
        </w:tc>
        <w:tc>
          <w:tcPr>
            <w:tcW w:type="dxa" w:w="347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Households asked for money, favours or other in exchange for services over the last 3 years: the same question as SDG:SDG-202 with a longer recall window. Both come from the same ISTAT survey (Sicurezza dei cittadini, 2016) for the same 21 territorial units (r = 0.79). Retired under the owner's sourcing rule: recency, coverage and source are equal, so the official definition decides, and UN SDG 16.5.1 is defined over the previous 12 months, which is SDG-202. The audit had recommended keeping this 3-year version for its larger event counts; the owner's rule overrides that recommendation. SDG-202 stays scored (stale, 2016).</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SDG:SDG-23</w:t>
            </w:r>
          </w:p>
        </w:tc>
        <w:tc>
          <w:tcPr>
            <w:tcW w:type="dxa" w:w="250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Occupazione nell'industria manifatturiera rispetto al totale economia</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2026-09-28: confirmed</w:t>
            </w:r>
          </w:p>
        </w:tc>
        <w:tc>
          <w:tcPr>
            <w:tcW w:type="dxa" w:w="347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Manufacturing share of total employment describes economic structure, not governance quality or ESG risk; removed from G (review 2). Exclusion confirmed by the owner on 28 Sep 2026.</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SDG:SDG-325</w:t>
            </w:r>
          </w:p>
        </w:tc>
        <w:tc>
          <w:tcPr>
            <w:tcW w:type="dxa" w:w="250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Rimesse verso l'estero degli immigrati in Italia</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2026-09-28: alternative applied (recommended: safety)</w:t>
            </w:r>
          </w:p>
        </w:tc>
        <w:tc>
          <w:tcPr>
            <w:tcW w:type="dxa" w:w="347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Remittances sent abroad by immigrants. Sign ruled by the user in Aug 2026 (Goal 17 development-finance flow, higher is better); published in million euro and scored per inhabitant in v1.1. On 28 Sep 2026 the owner reversed that ruling: remittances measure the earnings of the resident migrant population, not regional governance, so the indicator is excluded from the score.</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SDG:SDG-342</w:t>
            </w:r>
          </w:p>
        </w:tc>
        <w:tc>
          <w:tcPr>
            <w:tcW w:type="dxa" w:w="250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Persone di 16-74 anni che hanno usato internet negli ultimi 3 mesi almeno una volta a settimana (incluso tutti i giorni)</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2026-09-29: confirmed</w:t>
            </w:r>
          </w:p>
        </w:tc>
        <w:tc>
          <w:tcPr>
            <w:tcW w:type="dxa" w:w="347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Weekly internet users aged 16-74: the same measure as SDG:SDG-33 (internet use in the last 3 months, aged 6+), same ISTAT survey (Aspetti della vita quotidiana), same year (2025), all regions, r = 0.979. Retired under the owner's sourcing rule: recency, coverage and source are equal, so the official definition decides. SDG-33 is ISTAT's measure for UN SDG 17.8.1 (proportion of individuals using the Internet); this series is filed as a proxy for UN 5.b.1 (mobile-phone ownership by sex) and is published for all persons, so it gives no gender reading. SDG-33 stays scored.</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SDG:SDG-381</w:t>
            </w:r>
          </w:p>
        </w:tc>
        <w:tc>
          <w:tcPr>
            <w:tcW w:type="dxa" w:w="250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Tasso di crescita annuo del valore aggiunto in volume per ora lavorata</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2026-09-28: confirmed</w:t>
            </w:r>
          </w:p>
        </w:tc>
        <w:tc>
          <w:tcPr>
            <w:tcW w:type="dxa" w:w="347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Annual growth of value added per hour worked is a pure economic outcome; removed for consistency with the G rule (review 2). Exclusion confirmed by the owner on 28 Sep 2026.</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SDG:SDG-403</w:t>
            </w:r>
          </w:p>
        </w:tc>
        <w:tc>
          <w:tcPr>
            <w:tcW w:type="dxa" w:w="250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Posti letto in degenza ordinaria in istituti di cura pubblici e privati</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2026-09-29: confirmed</w:t>
            </w:r>
          </w:p>
        </w:tc>
        <w:tc>
          <w:tcPr>
            <w:tcW w:type="dxa" w:w="347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Ordinary hospital beds in public and private hospitals per 10,000 inhabitants (ISTAT on Ministry of Health open data; latest 2023). The owner's bed-capacity ruling of 29 Sep 2026 admits bed series, but this one is the same measure as Eurostat hlth_rs_bdsrg2 available hospital beds: same Ministry of Health source, r = 0.982 in 2023, means of 29.9 and 30.4 beds per 10,000. Eurostat already has 2024 for all regions, and the owner's sourcing rule keeps the most up-to-date copy, so EUROSTAT:HOSPITAL_BEDS is scored and this series stays excluded.</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SDG:SDG-404</w:t>
            </w:r>
          </w:p>
        </w:tc>
        <w:tc>
          <w:tcPr>
            <w:tcW w:type="dxa" w:w="250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Posti letto in day-Hospital negli istituti di cura pubblici e privati</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2026-09-29: alternative applied (recommended: exclude)</w:t>
            </w:r>
          </w:p>
        </w:tc>
        <w:tc>
          <w:tcPr>
            <w:tcW w:type="dxa" w:w="347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Day-hospital beds in public and private hospitals per 10,000 inhabitants (ISTAT on Ministry of Health open data, 2023). Bed counts carry no agreed ESG sign, so the audit recommended exclusion, but on 29 Sep 2026 the owner ruled that every bed series is scored as care capacity (higher is better) once it passes the duplicate screen. It passes: max |r| = 0.62 over the 20 regions, with PNE:HIP_FRACTURE_48H. Eurostat hospital-bed counts exclude day-care places, so this series does not repeat EUROSTAT:HOSPITAL_BEDS. Scored in SDG Goal 3.</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SDG:SDG-469</w:t>
            </w:r>
          </w:p>
        </w:tc>
        <w:tc>
          <w:tcPr>
            <w:tcW w:type="dxa" w:w="250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Scuole non accessibili dal punto di vista fisico</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2026-09-29: confirmed</w:t>
            </w:r>
          </w:p>
        </w:tc>
        <w:tc>
          <w:tcPr>
            <w:tcW w:type="dxa" w:w="347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Schools not physically accessible: the complement of SDG:SDG-468 (accessible schools) in the same ISTAT survey on pupils with disabilities, same year (2025), all regions, r = -0.74. The two series are tails of one distribution, so scoring both counted the theme twice. Retired under the owner's sourcing rule: recency, coverage and source are equal, so the official definition decides. UN SDG 4.a.1 counts the schools that offer the service (adapted infrastructure), which is SDG-468. SDG-468 stays scored.</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SDG:SDG-470</w:t>
            </w:r>
          </w:p>
        </w:tc>
        <w:tc>
          <w:tcPr>
            <w:tcW w:type="dxa" w:w="250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Donne vittime di violenze segnalate al numero di pubblica utilità contro la violenza e lo stalking 1522</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2026-09-28: confirmed</w:t>
            </w:r>
          </w:p>
        </w:tc>
        <w:tc>
          <w:tcPr>
            <w:tcW w:type="dxa" w:w="347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Women who reported violence to the 1522 helpline per 100,000 women. Reports rise with awareness and trust in the service as well as with prevalence, so the sign is not identifiable; prevalence is measured by BES 07SIC005-007 and SDG-258. Exclusion confirmed by the owner on 28 Sep 2026.</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SDG:SDG-58</w:t>
            </w:r>
          </w:p>
        </w:tc>
        <w:tc>
          <w:tcPr>
            <w:tcW w:type="dxa" w:w="250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Quota di energia da fonti rinnovabili sul consumo finale lordo di energia</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2026-09-29: confirmed</w:t>
            </w:r>
          </w:p>
        </w:tc>
        <w:tc>
          <w:tcPr>
            <w:tcW w:type="dxa" w:w="347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Renewable share of gross final energy consumption (GSE; latest 2023, 21 territorial units). ISTAT files it under the same UN indicator (7.2.1) as BES:10AMB016, renewable electricity (Terna; latest 2024, 22 units), and the regional series move together (r = 0.987). Retired under the owner's sourcing rule: the most up-to-date series wins, and BES:10AMB016 is one year newer and covers one more unit. BES:10AMB016 stays scored.</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SDG:SDG-6-N22</w:t>
            </w:r>
          </w:p>
        </w:tc>
        <w:tc>
          <w:tcPr>
            <w:tcW w:type="dxa" w:w="250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Giovani che non lavorano e non studiano (NEET) (15-24 anni)</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exclude</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2026-09-29: confirmed</w:t>
            </w:r>
          </w:p>
        </w:tc>
        <w:tc>
          <w:tcPr>
            <w:tcW w:type="dxa" w:w="347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NEET rate for ages 15-24 (SDG 8.6.1): the same labour-force-survey measure as the BES NEET rate for ages 15-29 (BES:02IST006-N22), same reference year (2025), |r| = 0.965 over the 20 regions, filed in a second Social thematic group (Goal 8), so one theme was scored twice. Retired under the owner's standing sourcing rule: on equal recency the BES publication is kept, which also covers the age band of the EU 2030 target (15-29).</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SDG:SDG-72</w:t>
            </w:r>
          </w:p>
        </w:tc>
        <w:tc>
          <w:tcPr>
            <w:tcW w:type="dxa" w:w="250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Valore aggiunto dell'industria manifatturiera rispetto al totale economia</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exclude</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2026-09-28: confirmed</w:t>
            </w:r>
          </w:p>
        </w:tc>
        <w:tc>
          <w:tcPr>
            <w:tcW w:type="dxa" w:w="3470"/>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Manufacturing share of total value added describes economic structure (industrialisation), not governance quality or ESG risk; removed from G (review 2). Exclusion confirmed by the owner on 28 Sep 2026.</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UWWTD:SECONDARY_COMPLIANCE</w:t>
            </w:r>
          </w:p>
        </w:tc>
        <w:tc>
          <w:tcPr>
            <w:tcW w:type="dxa" w:w="250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Urban waste-water load receiving compliant secondary treatment (share of the load generated by agglomerations of 2,000 p.e. or more)</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2026-09-28: alternative applied (recommended: exclude)</w:t>
            </w:r>
          </w:p>
        </w:tc>
        <w:tc>
          <w:tcPr>
            <w:tcW w:type="dxa" w:w="3470"/>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Share of the load generated by agglomerations of 2,000 p.e. or more that enters plants with secondary treatment passing the BOD5 and COD performance tests of Directive 91/271/EEC (EEA Waterbase UWWTD, Italian report for the situation at 31 Dec 2022, final public version Oct 2025), computed agglomeration by agglomeration, higher is better: Italy 84.4 per cent, from 28.6 in Sicily to 100 in Piemonte. It reads the Directive's own compliance test, which the treated-load share does not, and is the basis of the EU infringement procedures. The screen failed on two counts: r = 0.86 with the ISPRA treated-load share from the same questionnaire (UWWTD:TREATED_SHARE) and -0.84 with teenage fertility (SDG-55), the North-South development gradient that the treated-load share follows at 0.79, so the review recommended keeping the treated-load share. On 28 Sep 2026 the owner ruled under the standing sourcing rule: keep the most up-to-date source and, if both are equally recent, the most reliable, official and detailed one. The two series come from the same Italian report (the Commission's UWWTD 2024 questionnaire, situation at 31 Dec 2022; ISPRA's regional generated loads equal the Waterbase ones exactly in 14 of 20 regions and are 0.2 per cent apart nationally), so neither is more recent. The Waterbase is the final quality-checked version of that report, at agglomeration and plant level with the Directive's performance tests, while the ISPRA table aggregates it by region. The compliance share is therefore scored in place of the treated-load share in the BES Ambiente domain; its correlation with teenage fertility, two unrelated constructs that share the regional development gradient, is an accepted exception to the duplicate rule, disclosed here.</w:t>
            </w:r>
          </w:p>
        </w:tc>
      </w:tr>
    </w:tbl>
    <w:p>
      <w:pPr>
        <w:pStyle w:val="Heading2"/>
        <w:spacing w:after="120" w:before="280"/>
      </w:pPr>
      <w:r>
        <w:t xml:space="preserve">B.7 Indicators scored in version 1.0 and retired by the register</w:t>
      </w:r>
    </w:p>
    <w:p>
      <w:pPr>
        <w:spacing w:after="100" w:line="276"/>
      </w:pPr>
      <w:r>
        <w:rPr>
          <w:sz w:val="20"/>
          <w:szCs w:val="20"/>
        </w:rPr>
        <w:t xml:space="preserve">43 indicators that contributed to the version 1.0 scores are no longer scored. 30 were retired by the version 1.1 register audit, in four families: economic-level outcomes that had been placed in the Governance factor (GDP, investment, credit defaults), corporate location-risk exposures that measure the presence of firms rather than territorial risk, absolute totals that duplicate an intensity already scored, and survey measures superseded by a newer edition. 13 were retired in version 1.2: series replaced by a fresher or deeper source under the owner's sourcing rule (bathing water, waste-water treatment, greenhouse-gas emissions), the owner's ruling on remittances, and the same measure published under two codes (duplicate audit of 29 September 2026: the NEET rate for ages 15–24, weekly internet use, bribery requests over three years, schools that are not accessible, the at-risk-of-poverty rate, the renewable share of final energy and the separate-collection service). Each remains in the register with its rationale so that it is not re-admitted by a later source refresh.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46"/>
        <w:gridCol w:w="2602"/>
        <w:gridCol w:w="867"/>
        <w:gridCol w:w="771"/>
        <w:gridCol w:w="3952"/>
      </w:tblGrid>
      <w:tr>
        <w:trPr>
          <w:cantSplit/>
          <w:tblHeader/>
        </w:trPr>
        <w:tc>
          <w:tcPr>
            <w:tcW w:type="dxa" w:w="1446"/>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Id</w:t>
            </w:r>
          </w:p>
        </w:tc>
        <w:tc>
          <w:tcPr>
            <w:tcW w:type="dxa" w:w="2602"/>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Indicator</w:t>
            </w:r>
          </w:p>
        </w:tc>
        <w:tc>
          <w:tcPr>
            <w:tcW w:type="dxa" w:w="867"/>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Sign in v1.0</w:t>
            </w:r>
          </w:p>
        </w:tc>
        <w:tc>
          <w:tcPr>
            <w:tcW w:type="dxa" w:w="771"/>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Retired in</w:t>
            </w:r>
          </w:p>
        </w:tc>
        <w:tc>
          <w:tcPr>
            <w:tcW w:type="dxa" w:w="3952"/>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Rationale for retirement</w:t>
            </w:r>
          </w:p>
        </w:tc>
      </w:tr>
      <w:tr>
        <w:trPr>
          <w:cantSplit/>
        </w:trPr>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BDI:DEFAULT_RATE</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Loan default rate (adjusted bad-loan entry rate, total economy)</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v1.1</w:t>
            </w:r>
          </w:p>
        </w:tc>
        <w:tc>
          <w:tcPr>
            <w:tcW w:type="dxa" w:w="395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The loan default rate is a credit-cycle outcome of the regional economy rather than a governance quality; removed from G with the other economic outcomes (review 2).</w:t>
            </w:r>
          </w:p>
        </w:tc>
      </w:tr>
      <w:tr>
        <w:trPr>
          <w:cantSplit/>
        </w:trPr>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BES:04BEC003</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Rischio di povertà</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v1.2</w:t>
            </w:r>
          </w:p>
        </w:tc>
        <w:tc>
          <w:tcPr>
            <w:tcW w:type="dxa" w:w="395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At-risk-of-poverty rate: one of the three components of SDG:SDG-251-N23 (at risk of poverty or social exclusion, Europe 2030 definition). Both come from ISTAT EU-SILC, same year (2025), r = 0.988. Retired under the owner's sourcing rule. Recency and source are equal. AROPE is the more granular series, covering the province of Trento, which this series lacks. It is also the multidimensional measure that UN SDG 1.2.2 asks for (poverty in all its dimensions) and the EU 2030 headline target. AROPE stays scored in SDG Goal 1.</w:t>
            </w:r>
          </w:p>
        </w:tc>
      </w:tr>
      <w:tr>
        <w:trPr>
          <w:cantSplit/>
        </w:trPr>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BES:07SIC005</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Violenza fisica sulle donne</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v1.1</w:t>
            </w:r>
          </w:p>
        </w:tc>
        <w:tc>
          <w:tcPr>
            <w:tcW w:type="dxa" w:w="395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Women who suffered physical violence in the last 5 years, from the 2014 ISTAT survey on women's safety. Superseded: the 2025 edition of the same survey is already scored as SDG-258 (physical or sexual violence from a non-partner, last 5 years). The 2014 regional pattern no longer tracks the 2025 one (r = 0.26), so keeping it would add eleven-year-old noise, not a second signal.</w:t>
            </w:r>
          </w:p>
        </w:tc>
      </w:tr>
      <w:tr>
        <w:trPr>
          <w:cantSplit/>
        </w:trPr>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BES:07SIC006</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Violenza sessuale sulle donne</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v1.1</w:t>
            </w:r>
          </w:p>
        </w:tc>
        <w:tc>
          <w:tcPr>
            <w:tcW w:type="dxa" w:w="395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Women who suffered sexual violence in the last 5 years, from the 2014 ISTAT survey on women's safety. Superseded by the 2025 edition of the same survey, scored as SDG-258. The 2014 regional pattern is unrelated to the 2025 one (r = -0.06).</w:t>
            </w:r>
          </w:p>
        </w:tc>
      </w:tr>
      <w:tr>
        <w:trPr>
          <w:cantSplit/>
        </w:trPr>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BES:10AMB002</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Consumo materiale interno</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v1.1</w:t>
            </w:r>
          </w:p>
        </w:tc>
        <w:tc>
          <w:tcPr>
            <w:tcW w:type="dxa" w:w="395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Domestic material consumption in million tonnes is an absolute total that scales with region size; the per-capita measure SDG-40 is kept (UN SDG 12.2.2).</w:t>
            </w:r>
          </w:p>
        </w:tc>
      </w:tr>
      <w:tr>
        <w:trPr>
          <w:cantSplit/>
        </w:trPr>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BES:10AMB007</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Coste marine balneabili</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v1.2</w:t>
            </w:r>
          </w:p>
        </w:tc>
        <w:tc>
          <w:tcPr>
            <w:tcW w:type="dxa" w:w="395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Share of marine coast fit for bathing: higher is better, but the latest regional year is 2019 (flagged as stale since v1.1) and no newer regional series exists. Retired at the owner's request of 28 Sep 2026 in favour of the EEA bathing-water classification (BWD:EXCELLENT_SHARE, season 2025), which is updated every season and places every site in its region. The two do not measure the same thing (coast length fit for bathing against the quality class of the identified bathing waters; r = 0.11), so the length-based reading leaves the index rather than being refreshed (see sources not integrable).</w:t>
            </w:r>
          </w:p>
        </w:tc>
      </w:tr>
      <w:tr>
        <w:trPr>
          <w:cantSplit/>
        </w:trPr>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BES:10AMB013</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Trattamento delle acque reflue</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v1.2</w:t>
            </w:r>
          </w:p>
        </w:tc>
        <w:tc>
          <w:tcPr>
            <w:tcW w:type="dxa" w:w="395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Share of pollution load treated in secondary or advanced waste-water plants (ISTAT water census): higher is better, but the latest regional year is 2015 and the series was flagged as stale in v1.1. Retired in v1.2 in favour of the ISPRA share of the load treated in agglomerations of 2,000 p.e. or more (UWWTD:TREATED_SHARE, Urban Waste Water Treatment Directive reporting on 2022-2023), which measures the same service on current data and took its place in the Ambiente domain. By owner decision of 28 Sep 2026 that place goes to the EEA Waterbase compliance share from the same Italian report (UWWTD:SECONDARY_COMPLIANCE), which also applies the Directive's performance tests.</w:t>
            </w:r>
          </w:p>
        </w:tc>
      </w:tr>
      <w:tr>
        <w:trPr>
          <w:cantSplit/>
        </w:trPr>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BES:12SER024</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Servizio di raccolta differenziata dei rifiuti urbani</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v1.2</w:t>
            </w:r>
          </w:p>
        </w:tc>
        <w:tc>
          <w:tcPr>
            <w:tcW w:type="dxa" w:w="395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Separate-collection service: the share of residents living in municipalities that reach the 65% separate-collection target. It is derived from the same ISPRA municipal data as SDG:10AMB017 (share of municipal waste collected separately): same year (2024), all regions, r = 0.934. Retired under the owner's sourcing rule: recency, coverage and source are equal, so the primary measurement beats the threshold-derived series. SDG:10AMB017 is the legal target metric and ISTAT's measure for UN SDG 11.6.1. SDG:10AMB017 stays scored.</w:t>
            </w:r>
          </w:p>
        </w:tc>
      </w:tr>
      <w:tr>
        <w:trPr>
          <w:cantSplit/>
        </w:trPr>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EUROSTAT:GDP_PPS</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GDP per capita (purchasing power standards)</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v1.1</w:t>
            </w:r>
          </w:p>
        </w:tc>
        <w:tc>
          <w:tcPr>
            <w:tcW w:type="dxa" w:w="395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GDP per capita in PPS is a pure economic outcome, not a governance quality. Not scored since v1.1; read only for the collinearity diagnostic of the methodology (correlation of the total with GDP per capita, disclosed as a limitation).</w:t>
            </w:r>
          </w:p>
        </w:tc>
      </w:tr>
      <w:tr>
        <w:trPr>
          <w:cantSplit/>
        </w:trPr>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EUROSTAT:INVEST_RATE</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Investment rate (gross fixed capital formation as % of GDP)</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v1.1</w:t>
            </w:r>
          </w:p>
        </w:tc>
        <w:tc>
          <w:tcPr>
            <w:tcW w:type="dxa" w:w="395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Gross fixed capital formation as % of GDP is a pure economic outcome; removed from G with the other economic outcomes (review 2).</w:t>
            </w:r>
          </w:p>
        </w:tc>
      </w:tr>
      <w:tr>
        <w:trPr>
          <w:cantSplit/>
        </w:trPr>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OECD:CARBON_INTENSITY</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Carbon intensity of GDP (GHG emissions per unit of economic output)</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v1.2</w:t>
            </w:r>
          </w:p>
        </w:tc>
        <w:tc>
          <w:tcPr>
            <w:tcW w:type="dxa" w:w="395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GHG emissions per unit of GDP, higher is worse: OECD regional GHG totals (EDGAR-based) divided by Eurostat GDP. Retired in v1.2 together with OECD:GHG_PC under the owner decision of 28 Sep 2026 on the greenhouse-gas source (keep only the most trusted and most recent): its numerator is the OECD series, so keeping it would leave two sources on one theme. Replaced by EMIS:GHG_GDP, the ISPRA 2023 totals over the same Eurostat GDP denominator (r = 0.89 between the two).</w:t>
            </w:r>
          </w:p>
        </w:tc>
      </w:tr>
      <w:tr>
        <w:trPr>
          <w:cantSplit/>
        </w:trPr>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OECD:GHG_PC</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Greenhouse-gas emissions per capita</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v1.2</w:t>
            </w:r>
          </w:p>
        </w:tc>
        <w:tc>
          <w:tcPr>
            <w:tcW w:type="dxa" w:w="395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GHG emissions per capita, higher is worse, from the OECD regional database, which allocates the EDGAR global inventory (JRC) to regions with spatial proxies. Retired in v1.2 by owner decision of 28 Sep 2026 (one source per theme: the most trusted and the most recent): the ISPRA provincial disaggregation of the national inventory, the one Italy submits under the UNFCCC and the EU Governance Regulation, covers the same year (2023) and replaces it as EMIS:GHG_PC. The two per-capita series correlate at r = 0.80 over the 20 regions; the v1.2 review had kept the OECD series and left the choice to the owner.</w:t>
            </w:r>
          </w:p>
        </w:tc>
      </w:tr>
      <w:tr>
        <w:trPr>
          <w:cantSplit/>
        </w:trPr>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SDG:SDG-115</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Produzione di rifiuti speciali pericolosi</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v1.1</w:t>
            </w:r>
          </w:p>
        </w:tc>
        <w:tc>
          <w:tcPr>
            <w:tcW w:type="dxa" w:w="395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Hazardous special waste in tonnes is an absolute total that scales with region size; the per-capita measure SDG-115A is kept (UN SDG 12.4.2).</w:t>
            </w:r>
          </w:p>
        </w:tc>
      </w:tr>
      <w:tr>
        <w:trPr>
          <w:cantSplit/>
        </w:trPr>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SDG:SDG-115B</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Produzione di rifiuti speciali pericolosi per unità di Pil</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v1.1</w:t>
            </w:r>
          </w:p>
        </w:tc>
        <w:tc>
          <w:tcPr>
            <w:tcW w:type="dxa" w:w="395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Hazardous special waste per unit of GDP is a second denominator of the same flow; one denominator per flow is kept (per capita, SDG-115A).</w:t>
            </w:r>
          </w:p>
        </w:tc>
      </w:tr>
      <w:tr>
        <w:trPr>
          <w:cantSplit/>
        </w:trPr>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SDG:SDG-12</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Produzione per unità di lavoro delle aziende agricole</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v1.1</w:t>
            </w:r>
          </w:p>
        </w:tc>
        <w:tc>
          <w:tcPr>
            <w:tcW w:type="dxa" w:w="395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Agricultural output per work unit is a pure productivity outcome (SDG 2.3.1) with no ESG sign of its own; removed for consistency with the economic-outcome rule (review 2). Exclusion confirmed by the owner on 28 Sep 2026.</w:t>
            </w:r>
          </w:p>
        </w:tc>
      </w:tr>
      <w:tr>
        <w:trPr>
          <w:cantSplit/>
        </w:trPr>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SDG:SDG-136</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Numero morti in incidente stradale</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v1.1</w:t>
            </w:r>
          </w:p>
        </w:tc>
        <w:tc>
          <w:tcPr>
            <w:tcW w:type="dxa" w:w="395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Number of road deaths is an absolute count; the rate per 100,000 (SDG-27) and the BES youth rate (01SAL005) are kept.</w:t>
            </w:r>
          </w:p>
        </w:tc>
      </w:tr>
      <w:tr>
        <w:trPr>
          <w:cantSplit/>
        </w:trPr>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SDG:SDG-17</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Tasso di crescita annuo del Pil reale per abitante</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v1.1</w:t>
            </w:r>
          </w:p>
        </w:tc>
        <w:tc>
          <w:tcPr>
            <w:tcW w:type="dxa" w:w="395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Annual growth of real GDP per inhabitant is a pure economic outcome (Goal 8, mapped to S); removed for consistency with the G rule (review 2). Exclusion confirmed by the owner on 28 Sep 2026.</w:t>
            </w:r>
          </w:p>
        </w:tc>
      </w:tr>
      <w:tr>
        <w:trPr>
          <w:cantSplit/>
        </w:trPr>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SDG:SDG-18</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Tasso di crescita annuo del Pil reale per occupato</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v1.1</w:t>
            </w:r>
          </w:p>
        </w:tc>
        <w:tc>
          <w:tcPr>
            <w:tcW w:type="dxa" w:w="395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Annual growth of real GDP per worker is a pure economic outcome; removed for consistency with the G rule (review 2). Exclusion confirmed by the owner on 28 Sep 2026.</w:t>
            </w:r>
          </w:p>
        </w:tc>
      </w:tr>
      <w:tr>
        <w:trPr>
          <w:cantSplit/>
        </w:trPr>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SDG:SDG-202A</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Famiglie che hanno ricevuto richieste di denaro, favori o altro in cambio di facilitazioni o servizi negli ultimi tre anni</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v1.2</w:t>
            </w:r>
          </w:p>
        </w:tc>
        <w:tc>
          <w:tcPr>
            <w:tcW w:type="dxa" w:w="395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Households asked for money, favours or other in exchange for services over the last 3 years: the same question as SDG:SDG-202 with a longer recall window. Both come from the same ISTAT survey (Sicurezza dei cittadini, 2016) for the same 21 territorial units (r = 0.79). Retired under the owner's sourcing rule: recency, coverage and source are equal, so the official definition decides, and UN SDG 16.5.1 is defined over the previous 12 months, which is SDG-202. The audit had recommended keeping this 3-year version for its larger event counts; the owner's rule overrides that recommendation. SDG-202 stays scored (stale, 2016).</w:t>
            </w:r>
          </w:p>
        </w:tc>
      </w:tr>
      <w:tr>
        <w:trPr>
          <w:cantSplit/>
        </w:trPr>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SDG:SDG-23</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Occupazione nell'industria manifatturiera rispetto al totale economia</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v1.1</w:t>
            </w:r>
          </w:p>
        </w:tc>
        <w:tc>
          <w:tcPr>
            <w:tcW w:type="dxa" w:w="395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Manufacturing share of total employment describes economic structure, not governance quality or ESG risk; removed from G (review 2). Exclusion confirmed by the owner on 28 Sep 2026.</w:t>
            </w:r>
          </w:p>
        </w:tc>
      </w:tr>
      <w:tr>
        <w:trPr>
          <w:cantSplit/>
        </w:trPr>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SDG:SDG-306</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Aree marine comprese nella rete Natura 2000</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v1.1</w:t>
            </w:r>
          </w:p>
        </w:tc>
        <w:tc>
          <w:tcPr>
            <w:tcW w:type="dxa" w:w="395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Marine Natura 2000 area in km2 is an absolute total with no regional marine-area denominator; the five landlocked regions would score 0 for a sea they do not have. Terrestrial protected areas (10AMB014) remain.</w:t>
            </w:r>
          </w:p>
        </w:tc>
      </w:tr>
      <w:tr>
        <w:trPr>
          <w:cantSplit/>
        </w:trPr>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SDG:SDG-307A</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Centri antiviolenza: tasso per 100.000 donne di 14 anni e più</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v1.1</w:t>
            </w:r>
          </w:p>
        </w:tc>
        <w:tc>
          <w:tcPr>
            <w:tcW w:type="dxa" w:w="395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Anti-violence centres alone are a component of SDG-307 (centres and shelters), which is kept.</w:t>
            </w:r>
          </w:p>
        </w:tc>
      </w:tr>
      <w:tr>
        <w:trPr>
          <w:cantSplit/>
        </w:trPr>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SDG:SDG-325</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Rimesse verso l'estero degli immigrati in Italia</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v1.2</w:t>
            </w:r>
          </w:p>
        </w:tc>
        <w:tc>
          <w:tcPr>
            <w:tcW w:type="dxa" w:w="395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Remittances sent abroad by immigrants. Sign ruled by the user in Aug 2026 (Goal 17 development-finance flow, higher is better); published in million euro and scored per inhabitant in v1.1. On 28 Sep 2026 the owner reversed that ruling: remittances measure the earnings of the resident migrant population, not regional governance, so the indicator is excluded from the score.</w:t>
            </w:r>
          </w:p>
        </w:tc>
      </w:tr>
      <w:tr>
        <w:trPr>
          <w:cantSplit/>
        </w:trPr>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SDG:SDG-342</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Persone di 16-74 anni che hanno usato internet negli ultimi 3 mesi almeno una volta a settimana (incluso tutti i giorni)</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v1.2</w:t>
            </w:r>
          </w:p>
        </w:tc>
        <w:tc>
          <w:tcPr>
            <w:tcW w:type="dxa" w:w="395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Weekly internet users aged 16-74: the same measure as SDG:SDG-33 (internet use in the last 3 months, aged 6+), same ISTAT survey (Aspetti della vita quotidiana), same year (2025), all regions, r = 0.979. Retired under the owner's sourcing rule: recency, coverage and source are equal, so the official definition decides. SDG-33 is ISTAT's measure for UN SDG 17.8.1 (proportion of individuals using the Internet); this series is filed as a proxy for UN 5.b.1 (mobile-phone ownership by sex) and is published for all persons, so it gives no gender reading. SDG-33 stays scored.</w:t>
            </w:r>
          </w:p>
        </w:tc>
      </w:tr>
      <w:tr>
        <w:trPr>
          <w:cantSplit/>
        </w:trPr>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SDG:SDG-381</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Tasso di crescita annuo del valore aggiunto in volume per ora lavorata</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v1.1</w:t>
            </w:r>
          </w:p>
        </w:tc>
        <w:tc>
          <w:tcPr>
            <w:tcW w:type="dxa" w:w="395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Annual growth of value added per hour worked is a pure economic outcome; removed for consistency with the G rule (review 2). Exclusion confirmed by the owner on 28 Sep 2026.</w:t>
            </w:r>
          </w:p>
        </w:tc>
      </w:tr>
      <w:tr>
        <w:trPr>
          <w:cantSplit/>
        </w:trPr>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SDG:SDG-42</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Consumo materiale interno per unità di Pil</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v1.1</w:t>
            </w:r>
          </w:p>
        </w:tc>
        <w:tc>
          <w:tcPr>
            <w:tcW w:type="dxa" w:w="395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Domestic material consumption per unit of GDP is a second denominator of the same flow; one denominator per flow is kept (per capita, SDG-40).</w:t>
            </w:r>
          </w:p>
        </w:tc>
      </w:tr>
      <w:tr>
        <w:trPr>
          <w:cantSplit/>
        </w:trPr>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SDG:SDG-448</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Acque reflue urbane con trattamento secondario o avanzato</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v1.1</w:t>
            </w:r>
          </w:p>
        </w:tc>
        <w:tc>
          <w:tcPr>
            <w:tcW w:type="dxa" w:w="395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Number of urban waste-water plants with secondary or advanced treatment is a count that scales with region size; the share of the pollution load treated is scored instead (BES 10AMB013 until v1.1, the ISPRA UWWTD share UWWTD:TREATED_SHARE from v1.2).</w:t>
            </w:r>
          </w:p>
        </w:tc>
      </w:tr>
      <w:tr>
        <w:trPr>
          <w:cantSplit/>
        </w:trPr>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SDG:SDG-469</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Scuole non accessibili dal punto di vista fisico</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v1.2</w:t>
            </w:r>
          </w:p>
        </w:tc>
        <w:tc>
          <w:tcPr>
            <w:tcW w:type="dxa" w:w="395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Schools not physically accessible: the complement of SDG:SDG-468 (accessible schools) in the same ISTAT survey on pupils with disabilities, same year (2025), all regions, r = -0.74. The two series are tails of one distribution, so scoring both counted the theme twice. Retired under the owner's sourcing rule: recency, coverage and source are equal, so the official definition decides. UN SDG 4.a.1 counts the schools that offer the service (adapted infrastructure), which is SDG-468. SDG-468 stays scored.</w:t>
            </w:r>
          </w:p>
        </w:tc>
      </w:tr>
      <w:tr>
        <w:trPr>
          <w:cantSplit/>
        </w:trPr>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SDG:SDG-470</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Donne vittime di violenze segnalate al numero di pubblica utilità contro la violenza e lo stalking 1522</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v1.1</w:t>
            </w:r>
          </w:p>
        </w:tc>
        <w:tc>
          <w:tcPr>
            <w:tcW w:type="dxa" w:w="395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Women who reported violence to the 1522 helpline per 100,000 women. Reports rise with awareness and trust in the service as well as with prevalence, so the sign is not identifiable; prevalence is measured by BES 07SIC005-007 and SDG-258. Exclusion confirmed by the owner on 28 Sep 2026.</w:t>
            </w:r>
          </w:p>
        </w:tc>
      </w:tr>
      <w:tr>
        <w:trPr>
          <w:cantSplit/>
        </w:trPr>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SDG:SDG-499</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Acque di balneazione con qualità eccellente</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v1.2</w:t>
            </w:r>
          </w:p>
        </w:tc>
        <w:tc>
          <w:tcPr>
            <w:tcW w:type="dxa" w:w="395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Bathing waters of excellent quality: higher is better. ISTAT derives the series from the EEA site classification: the share of coastal and transitional bathing waters rated excellent over all identified sites reproduces its 2024 values exactly in all 15 coastal regions. Superseded in v1.2 by the same measure read from the primary source one season later (BWD:EXCELLENT_SHARE, season 2025; r = 0.86 between the 2024 and 2025 seasons), under the rule of one source per indicator, the most trusted and the most recent.</w:t>
            </w:r>
          </w:p>
        </w:tc>
      </w:tr>
      <w:tr>
        <w:trPr>
          <w:cantSplit/>
        </w:trPr>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SDG:SDG-56</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Valore aggiunto dell'industria manifatturiera per abitante</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v1.1</w:t>
            </w:r>
          </w:p>
        </w:tc>
        <w:tc>
          <w:tcPr>
            <w:tcW w:type="dxa" w:w="395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Manufacturing value added per inhabitant is a pure economic outcome (SDG 9.2.1 level); removed from G (review 2).</w:t>
            </w:r>
          </w:p>
        </w:tc>
      </w:tr>
      <w:tr>
        <w:trPr>
          <w:cantSplit/>
        </w:trPr>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SDG:SDG-58</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Quota di energia da fonti rinnovabili sul consumo finale lordo di energia</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v1.2</w:t>
            </w:r>
          </w:p>
        </w:tc>
        <w:tc>
          <w:tcPr>
            <w:tcW w:type="dxa" w:w="395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Renewable share of gross final energy consumption (GSE; latest 2023, 21 territorial units). ISTAT files it under the same UN indicator (7.2.1) as BES:10AMB016, renewable electricity (Terna; latest 2024, 22 units), and the regional series move together (r = 0.987). Retired under the owner's sourcing rule: the most up-to-date series wins, and BES:10AMB016 is one year newer and covers one more unit. BES:10AMB016 stays scored.</w:t>
            </w:r>
          </w:p>
        </w:tc>
      </w:tr>
      <w:tr>
        <w:trPr>
          <w:cantSplit/>
        </w:trPr>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SDG:SDG-6-N22</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Giovani che non lavorano e non studiano (NEET) (15-24 anni)</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v1.2</w:t>
            </w:r>
          </w:p>
        </w:tc>
        <w:tc>
          <w:tcPr>
            <w:tcW w:type="dxa" w:w="395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NEET rate for ages 15-24 (SDG 8.6.1): the same labour-force-survey measure as the BES NEET rate for ages 15-29 (BES:02IST006-N22), same reference year (2025), |r| = 0.965 over the 20 regions, filed in a second Social thematic group (Goal 8), so one theme was scored twice. Retired under the owner's standing sourcing rule: on equal recency the BES publication is kept, which also covers the age band of the EU 2030 target (15-29).</w:t>
            </w:r>
          </w:p>
        </w:tc>
      </w:tr>
      <w:tr>
        <w:trPr>
          <w:cantSplit/>
        </w:trPr>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SDG:SDG-72</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Valore aggiunto dell'industria manifatturiera rispetto al totale economia</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safety</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v1.1</w:t>
            </w:r>
          </w:p>
        </w:tc>
        <w:tc>
          <w:tcPr>
            <w:tcW w:type="dxa" w:w="395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Manufacturing share of total value added describes economic structure (industrialisation), not governance quality or ESG risk; removed from G (review 2). Exclusion confirmed by the owner on 28 Sep 2026.</w:t>
            </w:r>
          </w:p>
        </w:tc>
      </w:tr>
      <w:tr>
        <w:trPr>
          <w:cantSplit/>
        </w:trPr>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SDG:SDG-90</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Ammontare di rifiuti urbani oggetto di raccolta differenziata</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safety</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v1.1</w:t>
            </w:r>
          </w:p>
        </w:tc>
        <w:tc>
          <w:tcPr>
            <w:tcW w:type="dxa" w:w="395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Tonnes of separately collected municipal waste is an absolute total; the separate-collection share (10AMB017) is kept.</w:t>
            </w:r>
          </w:p>
        </w:tc>
      </w:tr>
      <w:tr>
        <w:trPr>
          <w:cantSplit/>
        </w:trPr>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TH:DG</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Water scarcity hazard level</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v1.1</w:t>
            </w:r>
          </w:p>
        </w:tc>
        <w:tc>
          <w:tcPr>
            <w:tcW w:type="dxa" w:w="395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ThinkHazard! water-scarcity class is a coarse global model output; drought stress is measured by BES 10AMB027 (consecutive dry days).</w:t>
            </w:r>
          </w:p>
        </w:tc>
      </w:tr>
      <w:tr>
        <w:trPr>
          <w:cantSplit/>
        </w:trPr>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TH:EH</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Extreme heat hazard level</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v1.1</w:t>
            </w:r>
          </w:p>
        </w:tc>
        <w:tc>
          <w:tcPr>
            <w:tcW w:type="dxa" w:w="395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ThinkHazard! extreme-heat class was identical in 18 of 20 regions. Heat is measured by EUROSTAT:CDD and BES 10AMB025 (heat-wave duration).</w:t>
            </w:r>
          </w:p>
        </w:tc>
      </w:tr>
      <w:tr>
        <w:trPr>
          <w:cantSplit/>
        </w:trPr>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TH:EQ</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Earthquake hazard level</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v1.1</w:t>
            </w:r>
          </w:p>
        </w:tc>
        <w:tc>
          <w:tcPr>
            <w:tcW w:type="dxa" w:w="395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ThinkHazard! earthquake class put 17 of 20 regions in one class (Calabria = Lombardia). Replaced by DPC:SEISMIC_Z12.</w:t>
            </w:r>
          </w:p>
        </w:tc>
      </w:tr>
      <w:tr>
        <w:trPr>
          <w:cantSplit/>
        </w:trPr>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TH:VA</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Volcano hazard level</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v1.1</w:t>
            </w:r>
          </w:p>
        </w:tc>
        <w:tc>
          <w:tcPr>
            <w:tcW w:type="dxa" w:w="395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ThinkHazard! volcano class rated Puglia and Molise 'High' (distance buffers). Replaced by DPC:VOLCANIC.</w:t>
            </w:r>
          </w:p>
        </w:tc>
      </w:tr>
      <w:tr>
        <w:trPr>
          <w:cantSplit/>
        </w:trPr>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TH:WF</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Wildfire hazard level</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v1.1</w:t>
            </w:r>
          </w:p>
        </w:tc>
        <w:tc>
          <w:tcPr>
            <w:tcW w:type="dxa" w:w="395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ThinkHazard! wildfire class was 'High' in 18 of 20 regions (Sardegna = Trentino). Wildfire is measured by BES 09PAE007 (burnt area per 1,000 km2).</w:t>
            </w:r>
          </w:p>
        </w:tc>
      </w:tr>
      <w:tr>
        <w:trPr>
          <w:cantSplit/>
        </w:trPr>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WWF:KBA_EXPOSURE</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Exposure to Key Biodiversity Areas (TNFD sensitive locations)</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v1.1</w:t>
            </w:r>
          </w:p>
        </w:tc>
        <w:tc>
          <w:tcPr>
            <w:tcW w:type="dxa" w:w="395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BRF 'exposure to Key Biodiversity Areas' encodes the location risk of a company operating near sensitive sites. For a territory the same fact is natural wealth, already read positively through protected areas (10AMB014); scoring it as risk made the two cancel (Abruzzo 100 vs 6). Removed.</w:t>
            </w:r>
          </w:p>
        </w:tc>
      </w:tr>
      <w:tr>
        <w:trPr>
          <w:cantSplit/>
        </w:trPr>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WWF:RAMSAR_EXPOSURE</w:t>
            </w:r>
          </w:p>
        </w:tc>
        <w:tc>
          <w:tcPr>
            <w:tcW w:type="dxa" w:w="260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Exposure to Wetlands of International Importance (Ramsar sites)</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risk</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v1.1</w:t>
            </w:r>
          </w:p>
        </w:tc>
        <w:tc>
          <w:tcPr>
            <w:tcW w:type="dxa" w:w="3952"/>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BRF 'exposure to Ramsar sites' is corporate location risk; for a territory Ramsar wetlands are protected natural capital, read positively through SDG-168. Removed.</w:t>
            </w:r>
          </w:p>
        </w:tc>
      </w:tr>
      <w:tr>
        <w:trPr>
          <w:cantSplit/>
        </w:trPr>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WWF:RANGE_RARITY</w:t>
            </w:r>
          </w:p>
        </w:tc>
        <w:tc>
          <w:tcPr>
            <w:tcW w:type="dxa" w:w="260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Range rarity — presence of range-restricted and endemic species</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risk</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v1.1</w:t>
            </w:r>
          </w:p>
        </w:tc>
        <w:tc>
          <w:tcPr>
            <w:tcW w:type="dxa" w:w="3952"/>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BRF 'range rarity' (endemic and range-restricted species) is corporate location sensitivity; for a territory it is natural wealth, not degradation. Removed.</w:t>
            </w:r>
          </w:p>
        </w:tc>
      </w:tr>
    </w:tbl>
    <w:p>
      <w:pPr>
        <w:pStyle w:val="Heading2"/>
        <w:spacing w:after="120" w:before="280"/>
      </w:pPr>
      <w:r>
        <w:t xml:space="preserve">B.8 Intensity transforms</w:t>
      </w:r>
    </w:p>
    <w:p>
      <w:pPr>
        <w:spacing w:after="100" w:line="276"/>
      </w:pPr>
      <w:r>
        <w:rPr>
          <w:sz w:val="20"/>
          <w:szCs w:val="20"/>
        </w:rPr>
        <w:t xml:space="preserve">6 indicators are published by their source as absolute regional totals. Scoring a total would score the size of the region; the register therefore divides each by resident population or regional surface (the denominators used for the region statistics of the website) before normalisation, and the converted unit is the one shown in Annex 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49"/>
        <w:gridCol w:w="1735"/>
        <w:gridCol w:w="2313"/>
        <w:gridCol w:w="4241"/>
      </w:tblGrid>
      <w:tr>
        <w:trPr>
          <w:cantSplit/>
          <w:tblHeader/>
        </w:trPr>
        <w:tc>
          <w:tcPr>
            <w:tcW w:type="dxa" w:w="1349"/>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Id</w:t>
            </w:r>
          </w:p>
        </w:tc>
        <w:tc>
          <w:tcPr>
            <w:tcW w:type="dxa" w:w="1735"/>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Denominator</w:t>
            </w:r>
          </w:p>
        </w:tc>
        <w:tc>
          <w:tcPr>
            <w:tcW w:type="dxa" w:w="2313"/>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Unit after conversion</w:t>
            </w:r>
          </w:p>
        </w:tc>
        <w:tc>
          <w:tcPr>
            <w:tcW w:type="dxa" w:w="4241"/>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Note</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BDI:LOCAL_DEBT</w:t>
            </w:r>
          </w:p>
        </w:tc>
        <w:tc>
          <w:tcPr>
            <w:tcW w:type="dxa" w:w="173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Resident population</w:t>
            </w:r>
          </w:p>
        </w:tc>
        <w:tc>
          <w:tcPr>
            <w:tcW w:type="dxa" w:w="231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Euro per abitante</w:t>
            </w:r>
          </w:p>
        </w:tc>
        <w:tc>
          <w:tcPr>
            <w:tcW w:type="dxa" w:w="424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Local government debt (regions, provinces, municipalities, local health entities) per inhabitant; the stock in EUR million would otherwise rank regions by size.</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SDG:SDG-168</w:t>
            </w:r>
          </w:p>
        </w:tc>
        <w:tc>
          <w:tcPr>
            <w:tcW w:type="dxa" w:w="173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Regional surface (km²)</w:t>
            </w:r>
          </w:p>
        </w:tc>
        <w:tc>
          <w:tcPr>
            <w:tcW w:type="dxa" w:w="231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Valori percentuali della superficie regionale</w:t>
            </w:r>
          </w:p>
        </w:tc>
        <w:tc>
          <w:tcPr>
            <w:tcW w:type="dxa" w:w="424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Ramsar wetland area as a share of regional surface.</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SDG:SDG-250</w:t>
            </w:r>
          </w:p>
        </w:tc>
        <w:tc>
          <w:tcPr>
            <w:tcW w:type="dxa" w:w="173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Regional surface (km²)</w:t>
            </w:r>
          </w:p>
        </w:tc>
        <w:tc>
          <w:tcPr>
            <w:tcW w:type="dxa" w:w="231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Tonnellate per km2 di superficie regionale</w:t>
            </w:r>
          </w:p>
        </w:tc>
        <w:tc>
          <w:tcPr>
            <w:tcW w:type="dxa" w:w="424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Ammonia from agriculture per km2 of regional surface. Utilised agricultural area would be the ideal denominator; it is not in the region file, so total surface is used and documented.</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SDG:SDG-325</w:t>
            </w:r>
          </w:p>
        </w:tc>
        <w:tc>
          <w:tcPr>
            <w:tcW w:type="dxa" w:w="173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Resident population</w:t>
            </w:r>
          </w:p>
        </w:tc>
        <w:tc>
          <w:tcPr>
            <w:tcW w:type="dxa" w:w="231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Euro per abitante</w:t>
            </w:r>
          </w:p>
        </w:tc>
        <w:tc>
          <w:tcPr>
            <w:tcW w:type="dxa" w:w="424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Remittances abroad per inhabitant.</w:t>
            </w:r>
          </w:p>
        </w:tc>
      </w:tr>
      <w:tr>
        <w:trPr>
          <w:cantSplit/>
        </w:trPr>
        <w:tc>
          <w:tcPr>
            <w:tcW w:type="dxa" w:w="1349"/>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SDG:SDG-378</w:t>
            </w:r>
          </w:p>
        </w:tc>
        <w:tc>
          <w:tcPr>
            <w:tcW w:type="dxa" w:w="173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Resident population</w:t>
            </w:r>
          </w:p>
        </w:tc>
        <w:tc>
          <w:tcPr>
            <w:tcW w:type="dxa" w:w="2313"/>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Litri per abitante al giorno</w:t>
            </w:r>
          </w:p>
        </w:tc>
        <w:tc>
          <w:tcPr>
            <w:tcW w:type="dxa" w:w="424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Drinking-water abstraction per inhabitant per day.</w:t>
            </w:r>
          </w:p>
        </w:tc>
      </w:tr>
      <w:tr>
        <w:trPr>
          <w:cantSplit/>
        </w:trPr>
        <w:tc>
          <w:tcPr>
            <w:tcW w:type="dxa" w:w="1349"/>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SDG:SDG-527</w:t>
            </w:r>
          </w:p>
        </w:tc>
        <w:tc>
          <w:tcPr>
            <w:tcW w:type="dxa" w:w="173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Resident population</w:t>
            </w:r>
          </w:p>
        </w:tc>
        <w:tc>
          <w:tcPr>
            <w:tcW w:type="dxa" w:w="2313"/>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Per milione di abitanti</w:t>
            </w:r>
          </w:p>
        </w:tc>
        <w:tc>
          <w:tcPr>
            <w:tcW w:type="dxa" w:w="424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Threats against journalists per million inhabitants.</w:t>
            </w:r>
          </w:p>
        </w:tc>
      </w:tr>
    </w:tbl>
    <w:p>
      <w:pPr>
        <w:pStyle w:val="Heading1"/>
        <w:spacing w:after="160" w:before="360"/>
      </w:pPr>
      <w:r>
        <w:t xml:space="preserve">Annex C — Results of the current vintage (Annex III, point 2(a)(iii))</w:t>
      </w:r>
    </w:p>
    <w:p>
      <w:pPr>
        <w:spacing w:after="100" w:line="276"/>
      </w:pPr>
      <w:r>
        <w:rPr>
          <w:sz w:val="20"/>
          <w:szCs w:val="20"/>
        </w:rPr>
        <w:t xml:space="preserve">Total and factor scores (0–100, higher = lower risk, rounded to the nearest integer) for the 20 rated items, vintage of 29 September 2026, methodology version 1.2. Ranks are computed on the unrounded total, so two regions showing the same rounded score can hold different ranks; a joint rank (identical unrounded scores) is marked "=". The risk band is assigned on the rounded total. Group-level scores are available on each region page of the website.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71"/>
        <w:gridCol w:w="3084"/>
        <w:gridCol w:w="964"/>
        <w:gridCol w:w="2506"/>
        <w:gridCol w:w="771"/>
        <w:gridCol w:w="771"/>
        <w:gridCol w:w="771"/>
      </w:tblGrid>
      <w:tr>
        <w:trPr>
          <w:cantSplit/>
          <w:tblHeader/>
        </w:trPr>
        <w:tc>
          <w:tcPr>
            <w:tcW w:type="dxa" w:w="771"/>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Rank</w:t>
            </w:r>
          </w:p>
        </w:tc>
        <w:tc>
          <w:tcPr>
            <w:tcW w:type="dxa" w:w="3084"/>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Region</w:t>
            </w:r>
          </w:p>
        </w:tc>
        <w:tc>
          <w:tcPr>
            <w:tcW w:type="dxa" w:w="964"/>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Total</w:t>
            </w:r>
          </w:p>
        </w:tc>
        <w:tc>
          <w:tcPr>
            <w:tcW w:type="dxa" w:w="2506"/>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Risk band</w:t>
            </w:r>
          </w:p>
        </w:tc>
        <w:tc>
          <w:tcPr>
            <w:tcW w:type="dxa" w:w="771"/>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E</w:t>
            </w:r>
          </w:p>
        </w:tc>
        <w:tc>
          <w:tcPr>
            <w:tcW w:type="dxa" w:w="771"/>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S</w:t>
            </w:r>
          </w:p>
        </w:tc>
        <w:tc>
          <w:tcPr>
            <w:tcW w:type="dxa" w:w="771"/>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G</w:t>
            </w:r>
          </w:p>
        </w:tc>
      </w:tr>
      <w:tr>
        <w:trPr>
          <w:cantSplit/>
        </w:trPr>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w:t>
            </w:r>
          </w:p>
        </w:tc>
        <w:tc>
          <w:tcPr>
            <w:tcW w:type="dxa" w:w="308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Trentino-Alto Adige</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70</w:t>
            </w:r>
          </w:p>
        </w:tc>
        <w:tc>
          <w:tcPr>
            <w:tcW w:type="dxa" w:w="250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Medium-low risk</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71</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70</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69</w:t>
            </w:r>
          </w:p>
        </w:tc>
      </w:tr>
      <w:tr>
        <w:trPr>
          <w:cantSplit/>
        </w:trPr>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w:t>
            </w:r>
          </w:p>
        </w:tc>
        <w:tc>
          <w:tcPr>
            <w:tcW w:type="dxa" w:w="308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Friuli-Venezia Giulia</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65</w:t>
            </w:r>
          </w:p>
        </w:tc>
        <w:tc>
          <w:tcPr>
            <w:tcW w:type="dxa" w:w="250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Medium-low risk</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61</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66</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69</w:t>
            </w:r>
          </w:p>
        </w:tc>
      </w:tr>
      <w:tr>
        <w:trPr>
          <w:cantSplit/>
        </w:trPr>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3</w:t>
            </w:r>
          </w:p>
        </w:tc>
        <w:tc>
          <w:tcPr>
            <w:tcW w:type="dxa" w:w="308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Emilia-Romagna</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65</w:t>
            </w:r>
          </w:p>
        </w:tc>
        <w:tc>
          <w:tcPr>
            <w:tcW w:type="dxa" w:w="250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Medium-low risk</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52</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65</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78</w:t>
            </w:r>
          </w:p>
        </w:tc>
      </w:tr>
      <w:tr>
        <w:trPr>
          <w:cantSplit/>
        </w:trPr>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4</w:t>
            </w:r>
          </w:p>
        </w:tc>
        <w:tc>
          <w:tcPr>
            <w:tcW w:type="dxa" w:w="308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Valle d'Aosta</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65</w:t>
            </w:r>
          </w:p>
        </w:tc>
        <w:tc>
          <w:tcPr>
            <w:tcW w:type="dxa" w:w="250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Medium-low risk</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63</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69</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63</w:t>
            </w:r>
          </w:p>
        </w:tc>
      </w:tr>
      <w:tr>
        <w:trPr>
          <w:cantSplit/>
        </w:trPr>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w:t>
            </w:r>
          </w:p>
        </w:tc>
        <w:tc>
          <w:tcPr>
            <w:tcW w:type="dxa" w:w="308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Marche</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63</w:t>
            </w:r>
          </w:p>
        </w:tc>
        <w:tc>
          <w:tcPr>
            <w:tcW w:type="dxa" w:w="250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Medium-low risk</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60</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62</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67</w:t>
            </w:r>
          </w:p>
        </w:tc>
      </w:tr>
      <w:tr>
        <w:trPr>
          <w:cantSplit/>
        </w:trPr>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w:t>
            </w:r>
          </w:p>
        </w:tc>
        <w:tc>
          <w:tcPr>
            <w:tcW w:type="dxa" w:w="308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Lombardia</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62</w:t>
            </w:r>
          </w:p>
        </w:tc>
        <w:tc>
          <w:tcPr>
            <w:tcW w:type="dxa" w:w="250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Medium-low risk</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53</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63</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70</w:t>
            </w:r>
          </w:p>
        </w:tc>
      </w:tr>
      <w:tr>
        <w:trPr>
          <w:cantSplit/>
        </w:trPr>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7</w:t>
            </w:r>
          </w:p>
        </w:tc>
        <w:tc>
          <w:tcPr>
            <w:tcW w:type="dxa" w:w="308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Veneto</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61</w:t>
            </w:r>
          </w:p>
        </w:tc>
        <w:tc>
          <w:tcPr>
            <w:tcW w:type="dxa" w:w="250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Medium-low risk</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53</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63</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67</w:t>
            </w:r>
          </w:p>
        </w:tc>
      </w:tr>
      <w:tr>
        <w:trPr>
          <w:cantSplit/>
        </w:trPr>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8</w:t>
            </w:r>
          </w:p>
        </w:tc>
        <w:tc>
          <w:tcPr>
            <w:tcW w:type="dxa" w:w="308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Piemonte</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61</w:t>
            </w:r>
          </w:p>
        </w:tc>
        <w:tc>
          <w:tcPr>
            <w:tcW w:type="dxa" w:w="250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Medium-low risk</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60</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59</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64</w:t>
            </w:r>
          </w:p>
        </w:tc>
      </w:tr>
      <w:tr>
        <w:trPr>
          <w:cantSplit/>
        </w:trPr>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9</w:t>
            </w:r>
          </w:p>
        </w:tc>
        <w:tc>
          <w:tcPr>
            <w:tcW w:type="dxa" w:w="308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Toscana</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61</w:t>
            </w:r>
          </w:p>
        </w:tc>
        <w:tc>
          <w:tcPr>
            <w:tcW w:type="dxa" w:w="250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Medium-low risk</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57</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59</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65</w:t>
            </w:r>
          </w:p>
        </w:tc>
      </w:tr>
      <w:tr>
        <w:trPr>
          <w:cantSplit/>
        </w:trPr>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10</w:t>
            </w:r>
          </w:p>
        </w:tc>
        <w:tc>
          <w:tcPr>
            <w:tcW w:type="dxa" w:w="308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Liguria</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60</w:t>
            </w:r>
          </w:p>
        </w:tc>
        <w:tc>
          <w:tcPr>
            <w:tcW w:type="dxa" w:w="250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Medium-low risk</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61</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55</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64</w:t>
            </w:r>
          </w:p>
        </w:tc>
      </w:tr>
      <w:tr>
        <w:trPr>
          <w:cantSplit/>
        </w:trPr>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11</w:t>
            </w:r>
          </w:p>
        </w:tc>
        <w:tc>
          <w:tcPr>
            <w:tcW w:type="dxa" w:w="308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Umbria</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57</w:t>
            </w:r>
          </w:p>
        </w:tc>
        <w:tc>
          <w:tcPr>
            <w:tcW w:type="dxa" w:w="250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Medium-low risk</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51</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58</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61</w:t>
            </w:r>
          </w:p>
        </w:tc>
      </w:tr>
      <w:tr>
        <w:trPr>
          <w:cantSplit/>
        </w:trPr>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12</w:t>
            </w:r>
          </w:p>
        </w:tc>
        <w:tc>
          <w:tcPr>
            <w:tcW w:type="dxa" w:w="308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Abruzzo</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55</w:t>
            </w:r>
          </w:p>
        </w:tc>
        <w:tc>
          <w:tcPr>
            <w:tcW w:type="dxa" w:w="250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Medium risk</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61</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54</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49</w:t>
            </w:r>
          </w:p>
        </w:tc>
      </w:tr>
      <w:tr>
        <w:trPr>
          <w:cantSplit/>
        </w:trPr>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13</w:t>
            </w:r>
          </w:p>
        </w:tc>
        <w:tc>
          <w:tcPr>
            <w:tcW w:type="dxa" w:w="308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Lazio</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53</w:t>
            </w:r>
          </w:p>
        </w:tc>
        <w:tc>
          <w:tcPr>
            <w:tcW w:type="dxa" w:w="250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Medium risk</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50</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56</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54</w:t>
            </w:r>
          </w:p>
        </w:tc>
      </w:tr>
      <w:tr>
        <w:trPr>
          <w:cantSplit/>
        </w:trPr>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14</w:t>
            </w:r>
          </w:p>
        </w:tc>
        <w:tc>
          <w:tcPr>
            <w:tcW w:type="dxa" w:w="308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Sardegna</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51</w:t>
            </w:r>
          </w:p>
        </w:tc>
        <w:tc>
          <w:tcPr>
            <w:tcW w:type="dxa" w:w="250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Medium risk</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57</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47</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49</w:t>
            </w:r>
          </w:p>
        </w:tc>
      </w:tr>
      <w:tr>
        <w:trPr>
          <w:cantSplit/>
        </w:trPr>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15</w:t>
            </w:r>
          </w:p>
        </w:tc>
        <w:tc>
          <w:tcPr>
            <w:tcW w:type="dxa" w:w="308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Molise</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50</w:t>
            </w:r>
          </w:p>
        </w:tc>
        <w:tc>
          <w:tcPr>
            <w:tcW w:type="dxa" w:w="250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Medium risk</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53</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54</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42</w:t>
            </w:r>
          </w:p>
        </w:tc>
      </w:tr>
      <w:tr>
        <w:trPr>
          <w:cantSplit/>
        </w:trPr>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16</w:t>
            </w:r>
          </w:p>
        </w:tc>
        <w:tc>
          <w:tcPr>
            <w:tcW w:type="dxa" w:w="308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Basilicata</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49</w:t>
            </w:r>
          </w:p>
        </w:tc>
        <w:tc>
          <w:tcPr>
            <w:tcW w:type="dxa" w:w="250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Medium risk</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54</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53</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39</w:t>
            </w:r>
          </w:p>
        </w:tc>
      </w:tr>
      <w:tr>
        <w:trPr>
          <w:cantSplit/>
        </w:trPr>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17</w:t>
            </w:r>
          </w:p>
        </w:tc>
        <w:tc>
          <w:tcPr>
            <w:tcW w:type="dxa" w:w="308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Puglia</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48</w:t>
            </w:r>
          </w:p>
        </w:tc>
        <w:tc>
          <w:tcPr>
            <w:tcW w:type="dxa" w:w="250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Medium risk</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55</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43</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46</w:t>
            </w:r>
          </w:p>
        </w:tc>
      </w:tr>
      <w:tr>
        <w:trPr>
          <w:cantSplit/>
        </w:trPr>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18</w:t>
            </w:r>
          </w:p>
        </w:tc>
        <w:tc>
          <w:tcPr>
            <w:tcW w:type="dxa" w:w="308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Campania</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41</w:t>
            </w:r>
          </w:p>
        </w:tc>
        <w:tc>
          <w:tcPr>
            <w:tcW w:type="dxa" w:w="250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Medium-high risk</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49</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37</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38</w:t>
            </w:r>
          </w:p>
        </w:tc>
      </w:tr>
      <w:tr>
        <w:trPr>
          <w:cantSplit/>
        </w:trPr>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19</w:t>
            </w:r>
          </w:p>
        </w:tc>
        <w:tc>
          <w:tcPr>
            <w:tcW w:type="dxa" w:w="308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Sicilia</w:t>
            </w:r>
          </w:p>
        </w:tc>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41</w:t>
            </w:r>
          </w:p>
        </w:tc>
        <w:tc>
          <w:tcPr>
            <w:tcW w:type="dxa" w:w="250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Medium-high risk</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46</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35</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42</w:t>
            </w:r>
          </w:p>
        </w:tc>
      </w:tr>
      <w:tr>
        <w:trPr>
          <w:cantSplit/>
        </w:trPr>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20</w:t>
            </w:r>
          </w:p>
        </w:tc>
        <w:tc>
          <w:tcPr>
            <w:tcW w:type="dxa" w:w="308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Calabria</w:t>
            </w:r>
          </w:p>
        </w:tc>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40</w:t>
            </w:r>
          </w:p>
        </w:tc>
        <w:tc>
          <w:tcPr>
            <w:tcW w:type="dxa" w:w="250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Medium-high risk</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55</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39</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26</w:t>
            </w:r>
          </w:p>
        </w:tc>
      </w:tr>
    </w:tbl>
    <w:p>
      <w:pPr>
        <w:pStyle w:val="Heading1"/>
        <w:spacing w:after="160" w:before="360"/>
      </w:pPr>
      <w:r>
        <w:t xml:space="preserve">Annex D — Compliance cross-reference matrix</w:t>
      </w:r>
    </w:p>
    <w:p>
      <w:pPr>
        <w:spacing w:after="100" w:line="276"/>
      </w:pPr>
      <w:r>
        <w:rPr>
          <w:sz w:val="20"/>
          <w:szCs w:val="20"/>
        </w:rPr>
        <w:t xml:space="preserve">Point 1 of Annex III (disclosures to the public, Article 23), presented in the order required by the Annex to Delegated Regulation (EU) 2026/871:</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38"/>
        <w:gridCol w:w="771"/>
        <w:gridCol w:w="867"/>
        <w:gridCol w:w="5205"/>
        <w:gridCol w:w="1157"/>
      </w:tblGrid>
      <w:tr>
        <w:trPr>
          <w:cantSplit/>
          <w:tblHeader/>
        </w:trPr>
        <w:tc>
          <w:tcPr>
            <w:tcW w:type="dxa" w:w="1638"/>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Block</w:t>
            </w:r>
          </w:p>
        </w:tc>
        <w:tc>
          <w:tcPr>
            <w:tcW w:type="dxa" w:w="771"/>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Annex III</w:t>
            </w:r>
          </w:p>
        </w:tc>
        <w:tc>
          <w:tcPr>
            <w:tcW w:type="dxa" w:w="867"/>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RTS</w:t>
            </w:r>
          </w:p>
        </w:tc>
        <w:tc>
          <w:tcPr>
            <w:tcW w:type="dxa" w:w="5205"/>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Required element</w:t>
            </w:r>
          </w:p>
        </w:tc>
        <w:tc>
          <w:tcPr>
            <w:tcW w:type="dxa" w:w="1157"/>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Section</w:t>
            </w:r>
          </w:p>
        </w:tc>
      </w:tr>
      <w:tr>
        <w:trPr>
          <w:cantSplit/>
        </w:trPr>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Rating product disclosures</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1(f)</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Art. 3(1)</w:t>
            </w:r>
          </w:p>
        </w:tc>
        <w:tc>
          <w:tcPr>
            <w:tcW w:type="dxa" w:w="5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Clearly defined objective; risk / impact / double materiality (with proportions) or other dimensions; description of risks and impacts covered</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2.1–2.3</w:t>
            </w:r>
          </w:p>
        </w:tc>
      </w:tr>
      <w:tr>
        <w:trPr>
          <w:cantSplit/>
        </w:trPr>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Rating product disclosures</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1(g)</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Art. 3(2)</w:t>
            </w:r>
          </w:p>
        </w:tc>
        <w:tc>
          <w:tcPr>
            <w:tcW w:type="dxa" w:w="5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Scope: single E, S or G factor vs aggregated rating; what is covered under each factor; specific issues covered</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2.4, 5.2</w:t>
            </w:r>
          </w:p>
        </w:tc>
      </w:tr>
      <w:tr>
        <w:trPr>
          <w:cantSplit/>
        </w:trPr>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Rating product disclosures</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1(h)</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N/A</w:t>
            </w:r>
          </w:p>
        </w:tc>
        <w:tc>
          <w:tcPr>
            <w:tcW w:type="dxa" w:w="5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Weighting of the E, S and G categories and explanation of the weighting method, including weight per category</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2.5, 5.5</w:t>
            </w:r>
          </w:p>
        </w:tc>
      </w:tr>
      <w:tr>
        <w:trPr>
          <w:cantSplit/>
        </w:trPr>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Rating product disclosures</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1(i)</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N/A</w:t>
            </w:r>
          </w:p>
        </w:tc>
        <w:tc>
          <w:tcPr>
            <w:tcW w:type="dxa" w:w="5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Topics covered within E, S and G and correspondence with the ESRS (Art. 29b Directive 2013/34/EU)</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5.2, Annex A</w:t>
            </w:r>
          </w:p>
        </w:tc>
      </w:tr>
      <w:tr>
        <w:trPr>
          <w:cantSplit/>
        </w:trPr>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Rating product disclosures</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1(j)</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N/A</w:t>
            </w:r>
          </w:p>
        </w:tc>
        <w:tc>
          <w:tcPr>
            <w:tcW w:type="dxa" w:w="5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Whether the rating is expressed in absolute or relative value</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2.6</w:t>
            </w:r>
          </w:p>
        </w:tc>
      </w:tr>
      <w:tr>
        <w:trPr>
          <w:cantSplit/>
        </w:trPr>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Rating product disclosures</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1(o)</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Art. 3(3)</w:t>
            </w:r>
          </w:p>
        </w:tc>
        <w:tc>
          <w:tcPr>
            <w:tcW w:type="dxa" w:w="5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 factor: whether the Paris Agreement / other international agreements are taken into account and whether alignment of commitments is assessed</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2.7</w:t>
            </w:r>
          </w:p>
        </w:tc>
      </w:tr>
      <w:tr>
        <w:trPr>
          <w:cantSplit/>
        </w:trPr>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Rating product disclosures</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1(p)</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Art. 3(3)</w:t>
            </w:r>
          </w:p>
        </w:tc>
        <w:tc>
          <w:tcPr>
            <w:tcW w:type="dxa" w:w="5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 and G factors: whether relevant international agreements are taken into account</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2.7</w:t>
            </w:r>
          </w:p>
        </w:tc>
      </w:tr>
      <w:tr>
        <w:trPr>
          <w:cantSplit/>
        </w:trPr>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General methodological disclosures</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1(a)</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Art. 4(1)</w:t>
            </w:r>
          </w:p>
        </w:tc>
        <w:tc>
          <w:tcPr>
            <w:tcW w:type="dxa" w:w="5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Overview of the methodology and changes: title; types of rated item; validity horizon; backward/forward-looking; supporting models and key assumptions; data quality measures; ranking system and meaning of categories (absolute/relative, comparative reference); date and description of last update</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3, 5, 6, 8</w:t>
            </w:r>
          </w:p>
        </w:tc>
      </w:tr>
      <w:tr>
        <w:trPr>
          <w:cantSplit/>
        </w:trPr>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General methodological disclosures</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1(b)</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Art. 4(2)</w:t>
            </w:r>
          </w:p>
        </w:tc>
        <w:tc>
          <w:tcPr>
            <w:tcW w:type="dxa" w:w="5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Industry classification used: issuing body, name and version, link to official documentation</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3.3</w:t>
            </w:r>
          </w:p>
        </w:tc>
      </w:tr>
      <w:tr>
        <w:trPr>
          <w:cantSplit/>
        </w:trPr>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General methodological disclosures</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1(c)</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Art. 4(3)</w:t>
            </w:r>
          </w:p>
        </w:tc>
        <w:tc>
          <w:tcPr>
            <w:tcW w:type="dxa" w:w="5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Overview of data sources (public/non-public; CSRD sustainability statements; SFDR disclosures), data processes, estimation in case of unavailability, frequency of updates; engagement process with rated items</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4, 7.4</w:t>
            </w:r>
          </w:p>
        </w:tc>
      </w:tr>
      <w:tr>
        <w:trPr>
          <w:cantSplit/>
        </w:trPr>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General methodological disclosures</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1(e)</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Art. 4(4)</w:t>
            </w:r>
          </w:p>
        </w:tc>
        <w:tc>
          <w:tcPr>
            <w:tcW w:type="dxa" w:w="5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Whether and how the methodology is based on scientific evidence; process for identifying it</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3.4</w:t>
            </w:r>
          </w:p>
        </w:tc>
      </w:tr>
      <w:tr>
        <w:trPr>
          <w:cantSplit/>
        </w:trPr>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General methodological disclosures</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1(k)</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N/A</w:t>
            </w:r>
          </w:p>
        </w:tc>
        <w:tc>
          <w:tcPr>
            <w:tcW w:type="dxa" w:w="5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Use of artificial intelligence in data collection or rating process, with limitations and risks</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4.6</w:t>
            </w:r>
          </w:p>
        </w:tc>
      </w:tr>
      <w:tr>
        <w:trPr>
          <w:cantSplit/>
        </w:trPr>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Limitations in data sources, methodologies and information</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1(m)</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Art. 5</w:t>
            </w:r>
          </w:p>
        </w:tc>
        <w:tc>
          <w:tcPr>
            <w:tcW w:type="dxa" w:w="5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Limitations in data sources and methodologies: availability/consistency of data; completeness, timeliness and accuracy; assumptions, proxies and estimation</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6</w:t>
            </w:r>
          </w:p>
        </w:tc>
      </w:tr>
      <w:tr>
        <w:trPr>
          <w:cantSplit/>
        </w:trPr>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Limitations in data sources, methodologies and information</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1(q)</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Art. 5</w:t>
            </w:r>
          </w:p>
        </w:tc>
        <w:tc>
          <w:tcPr>
            <w:tcW w:type="dxa" w:w="5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Limitations on the information available to the provider</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w:t>
            </w:r>
          </w:p>
        </w:tc>
      </w:tr>
      <w:tr>
        <w:trPr>
          <w:cantSplit/>
        </w:trPr>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Organisational disclosures</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1(d)</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Art. 6(1)</w:t>
            </w:r>
          </w:p>
        </w:tc>
        <w:tc>
          <w:tcPr>
            <w:tcW w:type="dxa" w:w="5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Ownership structure, including a chart of ownership links with parent undertakings and subsidiaries and whether they perform Art. 16 activities</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9.1</w:t>
            </w:r>
          </w:p>
        </w:tc>
      </w:tr>
      <w:tr>
        <w:trPr>
          <w:cantSplit/>
        </w:trPr>
        <w:tc>
          <w:tcPr>
            <w:tcW w:type="dxa" w:w="163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Organisational disclosures</w:t>
            </w:r>
          </w:p>
        </w:tc>
        <w:tc>
          <w:tcPr>
            <w:tcW w:type="dxa" w:w="77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1(l)</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Art. 6(2)</w:t>
            </w:r>
          </w:p>
        </w:tc>
        <w:tc>
          <w:tcPr>
            <w:tcW w:type="dxa" w:w="5205"/>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Fee criteria (fair, reasonable, transparent, non-discriminatory — Art. 27); business/payment model (subscription-paid, issuer-paid, other) and revenue proportions</w:t>
            </w:r>
          </w:p>
        </w:tc>
        <w:tc>
          <w:tcPr>
            <w:tcW w:type="dxa" w:w="115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9.2</w:t>
            </w:r>
          </w:p>
        </w:tc>
      </w:tr>
      <w:tr>
        <w:trPr>
          <w:cantSplit/>
        </w:trPr>
        <w:tc>
          <w:tcPr>
            <w:tcW w:type="dxa" w:w="163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Organisational disclosures</w:t>
            </w:r>
          </w:p>
        </w:tc>
        <w:tc>
          <w:tcPr>
            <w:tcW w:type="dxa" w:w="77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1(n)</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Art. 6(3)</w:t>
            </w:r>
          </w:p>
        </w:tc>
        <w:tc>
          <w:tcPr>
            <w:tcW w:type="dxa" w:w="5205"/>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Main risks of conflicts of interest, the areas from which they arise, and mitigation steps</w:t>
            </w:r>
          </w:p>
        </w:tc>
        <w:tc>
          <w:tcPr>
            <w:tcW w:type="dxa" w:w="115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9.3</w:t>
            </w:r>
          </w:p>
        </w:tc>
      </w:tr>
    </w:tbl>
    <w:p>
      <w:pPr>
        <w:spacing w:after="60" w:line="276"/>
      </w:pPr>
      <w:r>
        <w:rPr>
          <w:sz w:val="20"/>
          <w:szCs w:val="20"/>
        </w:rPr>
        <w:t xml:space="preserve">Point 2 of Annex III (disclosures to users of ESG ratings and rated items, Article 24):</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4"/>
        <w:gridCol w:w="867"/>
        <w:gridCol w:w="6361"/>
        <w:gridCol w:w="1446"/>
      </w:tblGrid>
      <w:tr>
        <w:trPr>
          <w:cantSplit/>
          <w:tblHeader/>
        </w:trPr>
        <w:tc>
          <w:tcPr>
            <w:tcW w:type="dxa" w:w="964"/>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Annex III</w:t>
            </w:r>
          </w:p>
        </w:tc>
        <w:tc>
          <w:tcPr>
            <w:tcW w:type="dxa" w:w="867"/>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RTS</w:t>
            </w:r>
          </w:p>
        </w:tc>
        <w:tc>
          <w:tcPr>
            <w:tcW w:type="dxa" w:w="6361"/>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Required element</w:t>
            </w:r>
          </w:p>
        </w:tc>
        <w:tc>
          <w:tcPr>
            <w:tcW w:type="dxa" w:w="1446"/>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Section</w:t>
            </w:r>
          </w:p>
        </w:tc>
      </w:tr>
      <w:tr>
        <w:trPr>
          <w:cantSplit/>
        </w:trPr>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2(a)(i)</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w:t>
            </w:r>
          </w:p>
        </w:tc>
        <w:tc>
          <w:tcPr>
            <w:tcW w:type="dxa" w:w="636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Scientific evidence and assumptions on which the ratings are based</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3.4, 5.4</w:t>
            </w:r>
          </w:p>
        </w:tc>
      </w:tr>
      <w:tr>
        <w:trPr>
          <w:cantSplit/>
        </w:trPr>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2(a)(ii)</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w:t>
            </w:r>
          </w:p>
        </w:tc>
        <w:tc>
          <w:tcPr>
            <w:tcW w:type="dxa" w:w="636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Relevant KPIs per E, S and G factor and weighting method</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5.2, 5.5, Annex A</w:t>
            </w:r>
          </w:p>
        </w:tc>
      </w:tr>
      <w:tr>
        <w:trPr>
          <w:cantSplit/>
        </w:trPr>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2(a)(iii)</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w:t>
            </w:r>
          </w:p>
        </w:tc>
        <w:tc>
          <w:tcPr>
            <w:tcW w:type="dxa" w:w="636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Aggregated rating: result of the assessment for each E, S and G category, presented comparably</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2.4, 5.6, Annex C</w:t>
            </w:r>
          </w:p>
        </w:tc>
      </w:tr>
      <w:tr>
        <w:trPr>
          <w:cantSplit/>
        </w:trPr>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2(a)(iv)</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Art. 7(2)</w:t>
            </w:r>
          </w:p>
        </w:tc>
        <w:tc>
          <w:tcPr>
            <w:tcW w:type="dxa" w:w="636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Potential shortcomings of the methodology (including pre-established statistical/algorithmic models) and measures taken</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6.3</w:t>
            </w:r>
          </w:p>
        </w:tc>
      </w:tr>
      <w:tr>
        <w:trPr>
          <w:cantSplit/>
        </w:trPr>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2(a)(v)</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Art. 8(1)</w:t>
            </w:r>
          </w:p>
        </w:tc>
        <w:tc>
          <w:tcPr>
            <w:tcW w:type="dxa" w:w="636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Policies for the revision of methodologies: process and frequency; triggering conditions; stakeholder consultation; impact assessment; material-change criteria</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8.1</w:t>
            </w:r>
          </w:p>
        </w:tc>
      </w:tr>
      <w:tr>
        <w:trPr>
          <w:cantSplit/>
        </w:trPr>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2(a)(vi)</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w:t>
            </w:r>
          </w:p>
        </w:tc>
        <w:tc>
          <w:tcPr>
            <w:tcW w:type="dxa" w:w="636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Upgrades/downgrades caused by material changes to methodology, models, assumptions or data sources: reasons and implications</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8.2</w:t>
            </w:r>
          </w:p>
        </w:tc>
      </w:tr>
      <w:tr>
        <w:trPr>
          <w:cantSplit/>
        </w:trPr>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2(a)(vii)</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Art. 8(2)</w:t>
            </w:r>
          </w:p>
        </w:tc>
        <w:tc>
          <w:tcPr>
            <w:tcW w:type="dxa" w:w="636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Date of last revision of the methodology and version number</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Cover, 8.4</w:t>
            </w:r>
          </w:p>
        </w:tc>
      </w:tr>
      <w:tr>
        <w:trPr>
          <w:cantSplit/>
        </w:trPr>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2(a)(viii)</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w:t>
            </w:r>
          </w:p>
        </w:tc>
        <w:tc>
          <w:tcPr>
            <w:tcW w:type="dxa" w:w="636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 factor: correlation with Taxonomy alignment (Regulation (EU) 2020/852) or alignment with international agreements; explanation of deviations</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2.7</w:t>
            </w:r>
          </w:p>
        </w:tc>
      </w:tr>
      <w:tr>
        <w:trPr>
          <w:cantSplit/>
        </w:trPr>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2(b)(i)</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Art. 7(1)</w:t>
            </w:r>
          </w:p>
        </w:tc>
        <w:tc>
          <w:tcPr>
            <w:tcW w:type="dxa" w:w="636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Detailed data sources: public/non-public; assurance; derived from ESRS / Taxonomy / SFDR; use of transition plans; methods to collect non-public data</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4.1–4.3</w:t>
            </w:r>
          </w:p>
        </w:tc>
      </w:tr>
      <w:tr>
        <w:trPr>
          <w:cantSplit/>
        </w:trPr>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2(b)(ii)</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w:t>
            </w:r>
          </w:p>
        </w:tc>
        <w:tc>
          <w:tcPr>
            <w:tcW w:type="dxa" w:w="636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Use of estimation and industry averages and the underlying methodology</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4.4</w:t>
            </w:r>
          </w:p>
        </w:tc>
      </w:tr>
      <w:tr>
        <w:trPr>
          <w:cantSplit/>
        </w:trPr>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2(b)(iii)</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Art. 8(3)</w:t>
            </w:r>
          </w:p>
        </w:tc>
        <w:tc>
          <w:tcPr>
            <w:tcW w:type="dxa" w:w="636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Policies for updating data and revising historical data; date of last data update; accuracy and consistency of revisions</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4.5, 8.3</w:t>
            </w:r>
          </w:p>
        </w:tc>
      </w:tr>
      <w:tr>
        <w:trPr>
          <w:cantSplit/>
        </w:trPr>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2(b)(iv)</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w:t>
            </w:r>
          </w:p>
        </w:tc>
        <w:tc>
          <w:tcPr>
            <w:tcW w:type="dxa" w:w="636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Data quality controls, frequency and remediation process</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4.7</w:t>
            </w:r>
          </w:p>
        </w:tc>
      </w:tr>
      <w:tr>
        <w:trPr>
          <w:cantSplit/>
        </w:trPr>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2(b)(v)</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w:t>
            </w:r>
          </w:p>
        </w:tc>
        <w:tc>
          <w:tcPr>
            <w:tcW w:type="dxa" w:w="636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Steps taken to address limitations in data sources</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6.4</w:t>
            </w:r>
          </w:p>
        </w:tc>
      </w:tr>
      <w:tr>
        <w:trPr>
          <w:cantSplit/>
        </w:trPr>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2(c)</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w:t>
            </w:r>
          </w:p>
        </w:tc>
        <w:tc>
          <w:tcPr>
            <w:tcW w:type="dxa" w:w="636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Engagement with rated items, including on-site reviews and frequency</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7.4</w:t>
            </w:r>
          </w:p>
        </w:tc>
      </w:tr>
      <w:tr>
        <w:trPr>
          <w:cantSplit/>
        </w:trPr>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2(d)</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w:t>
            </w:r>
          </w:p>
        </w:tc>
        <w:tc>
          <w:tcPr>
            <w:tcW w:type="dxa" w:w="636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Unsolicited ratings: prominent statement; whether the rated item was informed, participated, or gave access to management/internal documents</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7.1–7.3</w:t>
            </w:r>
          </w:p>
        </w:tc>
      </w:tr>
      <w:tr>
        <w:trPr>
          <w:cantSplit/>
        </w:trPr>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2(e)</w:t>
            </w:r>
          </w:p>
        </w:tc>
        <w:tc>
          <w:tcPr>
            <w:tcW w:type="dxa" w:w="86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w:t>
            </w:r>
          </w:p>
        </w:tc>
        <w:tc>
          <w:tcPr>
            <w:tcW w:type="dxa" w:w="6361"/>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Explanation of any AI methodology used</w:t>
            </w:r>
          </w:p>
        </w:tc>
        <w:tc>
          <w:tcPr>
            <w:tcW w:type="dxa" w:w="1446"/>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4.6</w:t>
            </w:r>
          </w:p>
        </w:tc>
      </w:tr>
      <w:tr>
        <w:trPr>
          <w:cantSplit/>
        </w:trPr>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2(f)</w:t>
            </w:r>
          </w:p>
        </w:tc>
        <w:tc>
          <w:tcPr>
            <w:tcW w:type="dxa" w:w="86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w:t>
            </w:r>
          </w:p>
        </w:tc>
        <w:tc>
          <w:tcPr>
            <w:tcW w:type="dxa" w:w="6361"/>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Major new information about a rated item: how it is taken into account and whether the rating was amended</w:t>
            </w:r>
          </w:p>
        </w:tc>
        <w:tc>
          <w:tcPr>
            <w:tcW w:type="dxa" w:w="1446"/>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8.5</w:t>
            </w:r>
          </w:p>
        </w:tc>
      </w:tr>
    </w:tbl>
    <w:p>
      <w:pPr>
        <w:spacing w:after="60" w:line="276"/>
      </w:pPr>
      <w:r>
        <w:rPr>
          <w:sz w:val="20"/>
          <w:szCs w:val="20"/>
        </w:rPr>
        <w:t xml:space="preserve">General principles of Article 15 relevant to this document (those marked apply also under the small-provider regime of Article 5):</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4"/>
        <w:gridCol w:w="6747"/>
        <w:gridCol w:w="1928"/>
      </w:tblGrid>
      <w:tr>
        <w:trPr>
          <w:cantSplit/>
          <w:tblHeader/>
        </w:trPr>
        <w:tc>
          <w:tcPr>
            <w:tcW w:type="dxa" w:w="964"/>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Article</w:t>
            </w:r>
          </w:p>
        </w:tc>
        <w:tc>
          <w:tcPr>
            <w:tcW w:type="dxa" w:w="6747"/>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Principle</w:t>
            </w:r>
          </w:p>
        </w:tc>
        <w:tc>
          <w:tcPr>
            <w:tcW w:type="dxa" w:w="1928"/>
            <w:tcBorders>
              <w:top w:val="single" w:color="D1D5DB" w:sz="4"/>
              <w:left w:val="single" w:color="D1D5DB" w:sz="4"/>
              <w:bottom w:val="single" w:color="D1D5DB" w:sz="4"/>
              <w:right w:val="single" w:color="D1D5DB" w:sz="4"/>
            </w:tcBorders>
            <w:shd w:fill="00818C" w:val="clear"/>
            <w:tcMar>
              <w:top w:type="dxa" w:w="40"/>
              <w:left w:type="dxa" w:w="80"/>
              <w:bottom w:type="dxa" w:w="40"/>
              <w:right w:type="dxa" w:w="80"/>
            </w:tcMar>
            <w:vAlign w:val="center"/>
          </w:tcPr>
          <w:p>
            <w:pPr>
              <w:spacing w:after="40" w:before="40"/>
            </w:pPr>
            <w:r>
              <w:rPr>
                <w:b/>
                <w:bCs/>
                <w:color w:val="FFFFFF"/>
                <w:sz w:val="17"/>
                <w:szCs w:val="17"/>
              </w:rPr>
              <w:t xml:space="preserve">Small providers</w:t>
            </w:r>
          </w:p>
        </w:tc>
      </w:tr>
      <w:tr>
        <w:trPr>
          <w:cantSplit/>
        </w:trPr>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15(1)</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Independence of rating activities, including from political and economic influences or constraints.</w:t>
            </w:r>
          </w:p>
        </w:tc>
        <w:tc>
          <w:tcPr>
            <w:tcW w:type="dxa" w:w="192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Applies</w:t>
            </w:r>
          </w:p>
        </w:tc>
      </w:tr>
      <w:tr>
        <w:trPr>
          <w:cantSplit/>
        </w:trPr>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15(5)</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Internal due diligence policies ensuring business interests do not impair independence or accuracy.</w:t>
            </w:r>
          </w:p>
        </w:tc>
        <w:tc>
          <w:tcPr>
            <w:tcW w:type="dxa" w:w="192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Applies</w:t>
            </w:r>
          </w:p>
        </w:tc>
      </w:tr>
      <w:tr>
        <w:trPr>
          <w:cantSplit/>
        </w:trPr>
        <w:tc>
          <w:tcPr>
            <w:tcW w:type="dxa" w:w="964"/>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15(7)</w:t>
            </w:r>
          </w:p>
        </w:tc>
        <w:tc>
          <w:tcPr>
            <w:tcW w:type="dxa" w:w="6747"/>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Rating methodologies that are rigorous, systematic, independent and capable of justification, applied continuously and transparently.</w:t>
            </w:r>
          </w:p>
        </w:tc>
        <w:tc>
          <w:tcPr>
            <w:tcW w:type="dxa" w:w="1928"/>
            <w:tcBorders>
              <w:top w:val="single" w:color="D1D5DB" w:sz="4"/>
              <w:left w:val="single" w:color="D1D5DB" w:sz="4"/>
              <w:bottom w:val="single" w:color="D1D5DB" w:sz="4"/>
              <w:right w:val="single" w:color="D1D5DB" w:sz="4"/>
            </w:tcBorders>
            <w:tcMar>
              <w:top w:type="dxa" w:w="40"/>
              <w:left w:type="dxa" w:w="80"/>
              <w:bottom w:type="dxa" w:w="40"/>
              <w:right w:type="dxa" w:w="80"/>
            </w:tcMar>
            <w:vAlign w:val="center"/>
          </w:tcPr>
          <w:p>
            <w:pPr>
              <w:spacing w:after="40" w:before="40"/>
            </w:pPr>
            <w:r>
              <w:rPr>
                <w:sz w:val="17"/>
                <w:szCs w:val="17"/>
              </w:rPr>
              <w:t xml:space="preserve">Applies</w:t>
            </w:r>
          </w:p>
        </w:tc>
      </w:tr>
      <w:tr>
        <w:trPr>
          <w:cantSplit/>
        </w:trPr>
        <w:tc>
          <w:tcPr>
            <w:tcW w:type="dxa" w:w="964"/>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15(8)</w:t>
            </w:r>
          </w:p>
        </w:tc>
        <w:tc>
          <w:tcPr>
            <w:tcW w:type="dxa" w:w="6747"/>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Review of rating methodologies on an ongoing basis and at least annually.</w:t>
            </w:r>
          </w:p>
        </w:tc>
        <w:tc>
          <w:tcPr>
            <w:tcW w:type="dxa" w:w="1928"/>
            <w:tcBorders>
              <w:top w:val="single" w:color="D1D5DB" w:sz="4"/>
              <w:left w:val="single" w:color="D1D5DB" w:sz="4"/>
              <w:bottom w:val="single" w:color="D1D5DB" w:sz="4"/>
              <w:right w:val="single" w:color="D1D5DB" w:sz="4"/>
            </w:tcBorders>
            <w:shd w:fill="F5F7F8" w:val="clear"/>
            <w:tcMar>
              <w:top w:type="dxa" w:w="40"/>
              <w:left w:type="dxa" w:w="80"/>
              <w:bottom w:type="dxa" w:w="40"/>
              <w:right w:type="dxa" w:w="80"/>
            </w:tcMar>
            <w:vAlign w:val="center"/>
          </w:tcPr>
          <w:p>
            <w:pPr>
              <w:spacing w:after="40" w:before="40"/>
            </w:pPr>
            <w:r>
              <w:rPr>
                <w:sz w:val="17"/>
                <w:szCs w:val="17"/>
              </w:rPr>
              <w:t xml:space="preserve">Ordinary regime only</w:t>
            </w:r>
          </w:p>
        </w:tc>
      </w:tr>
    </w:tbl>
    <w:p>
      <w:pPr>
        <w:spacing w:after="80"/>
      </w:pPr>
      <w:r>
        <w:rPr>
          <w:color w:val="6B7280"/>
          <w:sz w:val="16"/>
          <w:szCs w:val="16"/>
        </w:rPr>
        <w:t xml:space="preserve">This matrix is a self-assessment by the provider and does not constitute a confirmation of compliance by ESMA or any competent authority.</w:t>
      </w:r>
    </w:p>
    <w:sectPr>
      <w:headerReference w:type="default" r:id="rId11"/>
      <w:footerReference w:type="default" r:id="rId12"/>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280"/>
        <w:sz w:val="16"/>
        <w:szCs w:val="16"/>
      </w:rPr>
      <w:t xml:space="preserve">Ecomate — Public disclosure under Regulation (EU) 2024/3005, Articles 23 and 24 — Page </w:t>
    </w:r>
    <w:r>
      <w:rPr>
        <w:color w:val="6B7280"/>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280"/>
        <w:sz w:val="16"/>
        <w:szCs w:val="16"/>
      </w:rPr>
      <w:t xml:space="preserve">Ecomate — Public disclosure under Regulation (EU) 2024/3005, Articles 23 and 24 — Page </w:t>
    </w:r>
    <w:r>
      <w:rPr>
        <w:color w:val="6B7280"/>
        <w:sz w:val="16"/>
        <w:szCs w:val="16"/>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280"/>
        <w:sz w:val="16"/>
        <w:szCs w:val="16"/>
      </w:rPr>
      <w:t xml:space="preserve">Ecomate — Public disclosure under Regulation (EU) 2024/3005, Articles 23 and 24 — Page </w:t>
    </w:r>
    <w:r>
      <w:rPr>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7280"/>
        <w:sz w:val="16"/>
        <w:szCs w:val="16"/>
      </w:rPr>
      <w:t xml:space="preserve">ESG Country Risk — Italy (Regional ESG Risk Index) — Methodology v1.2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7280"/>
        <w:sz w:val="16"/>
        <w:szCs w:val="16"/>
      </w:rPr>
      <w:t xml:space="preserve">ESG Country Risk — Italy (Regional ESG Risk Index) — Methodology v1.2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7280"/>
        <w:sz w:val="16"/>
        <w:szCs w:val="16"/>
      </w:rPr>
      <w:t xml:space="preserve">ESG Country Risk — Italy (Regional ESG Risk Index) — Methodology v1.2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20" w:before="240"/>
      <w:outlineLvl w:val="0"/>
    </w:pPr>
    <w:rPr>
      <w:rFonts w:ascii="Calibri" w:cs="Calibri" w:eastAsia="Calibri" w:hAnsi="Calibri"/>
      <w:b/>
      <w:bCs/>
      <w:color w:val="00818C"/>
      <w:sz w:val="30"/>
      <w:szCs w:val="30"/>
    </w:rPr>
  </w:style>
  <w:style w:type="paragraph" w:styleId="Heading2">
    <w:name w:val="Heading 2"/>
    <w:basedOn w:val="Normal"/>
    <w:next w:val="Normal"/>
    <w:qFormat/>
    <w:pPr>
      <w:keepNext/>
      <w:spacing w:after="120" w:before="240"/>
      <w:outlineLvl w:val="1"/>
    </w:pPr>
    <w:rPr>
      <w:rFonts w:ascii="Calibri" w:cs="Calibri" w:eastAsia="Calibri" w:hAnsi="Calibri"/>
      <w:b/>
      <w:bCs/>
      <w:color w:val="005F66"/>
      <w:sz w:val="24"/>
      <w:szCs w:val="24"/>
    </w:rPr>
  </w:style>
  <w:style w:type="paragraph" w:styleId="Heading3">
    <w:name w:val="Heading 3"/>
    <w:basedOn w:val="Normal"/>
    <w:next w:val="Normal"/>
    <w:qFormat/>
    <w:pPr>
      <w:keepNext/>
      <w:spacing w:after="120" w:before="240"/>
      <w:outlineLvl w:val="2"/>
    </w:pPr>
    <w:rPr>
      <w:rFonts w:ascii="Calibri" w:cs="Calibri" w:eastAsia="Calibri" w:hAnsi="Calibri"/>
      <w:b/>
      <w:bCs/>
      <w:color w:val="005F66"/>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s2-2u9fwwlv4rj7c9hjvy" Type="http://schemas.openxmlformats.org/officeDocument/2006/relationships/hyperlink" Target="http://data.europa.eu/eli/reg/2024/3005/oj" TargetMode="External"/><Relationship Id="rId6hqvujdkexpqak-hrxwju" Type="http://schemas.openxmlformats.org/officeDocument/2006/relationships/hyperlink" Target="http://data.europa.eu/eli/reg_del/2026/871/oj" TargetMode="External"/><Relationship Id="rIdozmw_yywvchhbab0wqcjo" Type="http://schemas.openxmlformats.org/officeDocument/2006/relationships/hyperlink" Target="https://ec.europa.eu/eurostat/web/nuts" TargetMode="External"/><Relationship Id="rId2fpy0lvh7vezferrupr3s" Type="http://schemas.openxmlformats.org/officeDocument/2006/relationships/hyperlink" Target="https://www.rgs.mef.gov.it/VERSIONE-I/tempi_di_pagamento_e_debiti_commerciali_delle_pubbliche_amministrazioni/monitoraggio/dati_per_singola_amministrazione/" TargetMode="External"/><Relationship Id="rIdag-z4myspizzmv5bqhmko" Type="http://schemas.openxmlformats.org/officeDocument/2006/relationships/hyperlink" Target="https://cohesiondata.ec.europa.eu/2021-2027-Finances/2021-2027-EU-payment-details-timeseries-/pbbz-hmfu" TargetMode="External"/><Relationship Id="rIdoo0d3wixmag359vjy2yzl" Type="http://schemas.openxmlformats.org/officeDocument/2006/relationships/hyperlink" Target="https://openpnrr.it/api/v1/territori" TargetMode="External"/><Relationship Id="rIdtsvxjpjn3lvrd1xummgcd" Type="http://schemas.openxmlformats.org/officeDocument/2006/relationships/hyperlink" Target="https://www.salute.gov.it/new/it/tema/piani-di-rientro/" TargetMode="External"/><Relationship Id="rIdzfq2gljfxs3wnkvyagnso" Type="http://schemas.openxmlformats.org/officeDocument/2006/relationships/hyperlink" Target="https://www.wikimafia.it/wiki/Comuni_sciolti_per_mafia" TargetMode="External"/><Relationship Id="rIddpazhsoodnjacttksctei" Type="http://schemas.openxmlformats.org/officeDocument/2006/relationships/hyperlink" Target="https://www.istat.it/statistiche-per-temi/focus/benessere-e-sostenibilita/obiettivi-di-sviluppo-sostenibile/" TargetMode="External"/><Relationship Id="rIddhz3qvrgv_6os2ym4xxgy" Type="http://schemas.openxmlformats.org/officeDocument/2006/relationships/hyperlink" Target="https://indicatoriambientali.isprambiente.it/it/sostanze-o-agenti-chimici/stabilimenti-con-pericolo-di-incidente-rilevante-distribuzione-provinciale-e-regionale" TargetMode="External"/><Relationship Id="rIdq-jnoat6iqn9toqt5a959" Type="http://schemas.openxmlformats.org/officeDocument/2006/relationships/hyperlink" Target="https://emissioni.sina.isprambiente.it/disaggregazione-provinciale/" TargetMode="External"/><Relationship Id="rId-esimqpwqop84n7hsnyf3" Type="http://schemas.openxmlformats.org/officeDocument/2006/relationships/hyperlink" Target="https://indicatoriambientali.isprambiente.it/it/acque-interne/nitrati-nelle-acque-sotterranee" TargetMode="External"/><Relationship Id="rIdyiidci4k12oet9ubjmtdw" Type="http://schemas.openxmlformats.org/officeDocument/2006/relationships/hyperlink" Target="https://esploradati.istat.it/SDMXWS/rest/data/82_87_DF_DCCV_AVQ_FAMIGLIE_105/all?startPeriod=2023" TargetMode="External"/><Relationship Id="rIdubkrtzkjlwicteokpuzif" Type="http://schemas.openxmlformats.org/officeDocument/2006/relationships/hyperlink" Target="https://sdi.eea.europa.eu/data/52b2e779-a146-414f-bf00-d63dfbf9c4f1" TargetMode="External"/><Relationship Id="rIdqmrppakmjskyof98iyjkn" Type="http://schemas.openxmlformats.org/officeDocument/2006/relationships/hyperlink" Target="https://sdi.eea.europa.eu/datastore/public/eea_t_bathing-water-status_p_1990-2025_v01_r00/" TargetMode="External"/><Relationship Id="rIdrnsqnodeda-ucrchbltdv" Type="http://schemas.openxmlformats.org/officeDocument/2006/relationships/hyperlink" Target="https://www.isprambiente.gov.it/it/attivita/suolo-e-territorio/suolo/il-consumo-di-suolo" TargetMode="External"/><Relationship Id="rIdfcvphw2t6okchyotbw4ks" Type="http://schemas.openxmlformats.org/officeDocument/2006/relationships/hyperlink" Target="https://climateknowledgeportal.worldbank.org/" TargetMode="External"/><Relationship Id="rIduss5a6jzxvkxvph2om8pm" Type="http://schemas.openxmlformats.org/officeDocument/2006/relationships/hyperlink" Target="https://siape.enea.it/" TargetMode="External"/><Relationship Id="rId74b-zy0te_h8odvi3e6mu" Type="http://schemas.openxmlformats.org/officeDocument/2006/relationships/hyperlink" Target="https://www.iss.it/radon" TargetMode="External"/><Relationship Id="rIdjgp0wjavfa_8mc9m1_p2n" Type="http://schemas.openxmlformats.org/officeDocument/2006/relationships/hyperlink" Target="https://pne.agenas.it/" TargetMode="External"/><Relationship Id="rIdj1sfscwxumiwrwuqhbotw" Type="http://schemas.openxmlformats.org/officeDocument/2006/relationships/hyperlink" Target="https://ucs.interno.gov.it/" TargetMode="External"/><Relationship Id="rIdbh2we8v3k_jfkzr2a2bnd" Type="http://schemas.openxmlformats.org/officeDocument/2006/relationships/hyperlink" Target="https://oipeosservatorio.it/wp-content/uploads/2025/12/2025_PE_ITA_2024.pdf" TargetMode="External"/><Relationship Id="rIdbmsa6nqg6gipv-vuaj62v" Type="http://schemas.openxmlformats.org/officeDocument/2006/relationships/hyperlink" Target="https://politichecoesione.governo.it/media/2824/20220214-mappa-ai-2020-tavole-di-sintesi-per-regione.xlsx" TargetMode="External"/><Relationship Id="rIds84gartsplyc7oyzwnmtr" Type="http://schemas.openxmlformats.org/officeDocument/2006/relationships/hyperlink" Target="https://jeodpp.jrc.ec.europa.eu/ftp/jrc-opendata/GCOM-MyCovenant/2025_Sixth_release/" TargetMode="External"/><Relationship Id="rIdq8makwsqcvpqykzeqtbj4" Type="http://schemas.openxmlformats.org/officeDocument/2006/relationships/hyperlink" Target="https://indicatoriambientali.isprambiente.it/it/clima/strategie-e-piani-di-adattamento-ai-cambiamenti-climatici" TargetMode="External"/><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ESG Country Risk — Italy (Regional ESG Risk Index) — Methodology v1.2</dc:title>
  <dc:creator>Ecomate</dc:creator>
  <dc:description>Public ESG rating methodology disclosure under Regulation (EU) 2024/3005</dc:description>
  <cp:lastModifiedBy>Un-named</cp:lastModifiedBy>
  <cp:revision>1</cp:revision>
  <dcterms:created xsi:type="dcterms:W3CDTF">2026-09-29T11:44:17.928Z</dcterms:created>
  <dcterms:modified xsi:type="dcterms:W3CDTF">2026-09-29T11:44:17.928Z</dcterms:modified>
</cp:coreProperties>
</file>

<file path=docProps/custom.xml><?xml version="1.0" encoding="utf-8"?>
<Properties xmlns="http://schemas.openxmlformats.org/officeDocument/2006/custom-properties" xmlns:vt="http://schemas.openxmlformats.org/officeDocument/2006/docPropsVTypes"/>
</file>